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FDF558E" w:rsidR="00383491" w:rsidRDefault="00D2307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105B4D3" wp14:editId="25E20580">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2F6EA80" w14:textId="77777777" w:rsidR="00D23078" w:rsidRDefault="00D23078" w:rsidP="00D2307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5B4D3"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62F6EA80" w14:textId="77777777" w:rsidR="00D23078" w:rsidRDefault="00D23078" w:rsidP="00D2307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114DF4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90E7C6" w:rsidR="00383491" w:rsidRPr="00DE6685" w:rsidRDefault="002B79B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E90E7C6" w:rsidR="00383491" w:rsidRPr="00DE6685" w:rsidRDefault="002B79B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C0945E8" w:rsidR="008F552B" w:rsidRDefault="002B79BB" w:rsidP="009241AE">
      <w:pPr>
        <w:spacing w:line="360" w:lineRule="auto"/>
        <w:jc w:val="center"/>
        <w:rPr>
          <w:rFonts w:ascii="Arial" w:hAnsi="Arial" w:cs="Arial"/>
          <w:b/>
          <w:bCs/>
          <w:color w:val="1F3864" w:themeColor="accent1" w:themeShade="80"/>
          <w:sz w:val="48"/>
          <w:szCs w:val="48"/>
        </w:rPr>
      </w:pPr>
      <w:bookmarkStart w:id="0" w:name="_Hlk170901815"/>
      <w:r w:rsidRPr="002B79BB">
        <w:rPr>
          <w:rFonts w:ascii="Arial" w:hAnsi="Arial" w:cs="Arial"/>
          <w:b/>
          <w:bCs/>
          <w:color w:val="1F3864" w:themeColor="accent1" w:themeShade="80"/>
          <w:sz w:val="48"/>
          <w:szCs w:val="48"/>
        </w:rPr>
        <w:t>DIÓXIDO DE TITANIO ANATASE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A52F003" w:rsidR="00DE6685" w:rsidRPr="002B79BB" w:rsidRDefault="00AC49FB" w:rsidP="009241AE">
            <w:pPr>
              <w:spacing w:line="360" w:lineRule="auto"/>
              <w:jc w:val="both"/>
              <w:rPr>
                <w:rFonts w:ascii="Arial" w:hAnsi="Arial" w:cs="Arial"/>
                <w:sz w:val="24"/>
                <w:szCs w:val="24"/>
              </w:rPr>
            </w:pPr>
            <w:r w:rsidRPr="002B79BB">
              <w:rPr>
                <w:rFonts w:ascii="Arial" w:hAnsi="Arial" w:cs="Arial"/>
                <w:sz w:val="24"/>
                <w:szCs w:val="24"/>
              </w:rPr>
              <w:t>Nombre Q</w:t>
            </w:r>
            <w:r w:rsidR="00DE6685" w:rsidRPr="002B79BB">
              <w:rPr>
                <w:rFonts w:ascii="Arial" w:hAnsi="Arial" w:cs="Arial"/>
                <w:sz w:val="24"/>
                <w:szCs w:val="24"/>
              </w:rPr>
              <w:t>uímico:</w:t>
            </w:r>
            <w:r w:rsidR="00745BCE" w:rsidRPr="002B79BB">
              <w:rPr>
                <w:rFonts w:ascii="Arial" w:hAnsi="Arial" w:cs="Arial"/>
                <w:sz w:val="24"/>
                <w:szCs w:val="24"/>
              </w:rPr>
              <w:t xml:space="preserve"> </w:t>
            </w:r>
            <w:r w:rsidR="002B79BB" w:rsidRPr="002B79BB">
              <w:rPr>
                <w:rFonts w:ascii="Arial" w:hAnsi="Arial" w:cs="Arial"/>
                <w:sz w:val="24"/>
                <w:szCs w:val="24"/>
              </w:rPr>
              <w:t>Dióxido de titanio</w:t>
            </w:r>
          </w:p>
          <w:p w14:paraId="207EC96B" w14:textId="19168BCC" w:rsidR="00DE6685" w:rsidRPr="002B79BB" w:rsidRDefault="00DE6685" w:rsidP="009241AE">
            <w:pPr>
              <w:spacing w:line="360" w:lineRule="auto"/>
              <w:jc w:val="both"/>
              <w:rPr>
                <w:rFonts w:ascii="Arial" w:hAnsi="Arial" w:cs="Arial"/>
                <w:sz w:val="24"/>
                <w:szCs w:val="24"/>
              </w:rPr>
            </w:pPr>
            <w:r w:rsidRPr="002B79BB">
              <w:rPr>
                <w:rFonts w:ascii="Arial" w:hAnsi="Arial" w:cs="Arial"/>
                <w:sz w:val="24"/>
                <w:szCs w:val="24"/>
              </w:rPr>
              <w:t>Sinónimos:</w:t>
            </w:r>
            <w:r w:rsidR="00A21D43" w:rsidRPr="002B79BB">
              <w:rPr>
                <w:rFonts w:ascii="Arial" w:hAnsi="Arial" w:cs="Arial"/>
                <w:sz w:val="24"/>
                <w:szCs w:val="24"/>
              </w:rPr>
              <w:t xml:space="preserve"> </w:t>
            </w:r>
            <w:r w:rsidR="002B79BB" w:rsidRPr="002B79BB">
              <w:rPr>
                <w:rFonts w:ascii="Arial" w:hAnsi="Arial" w:cs="Arial"/>
                <w:sz w:val="24"/>
                <w:szCs w:val="24"/>
              </w:rPr>
              <w:t>Óxido de titanio (IV), Titania, TiO</w:t>
            </w:r>
            <w:r w:rsidR="002B79BB" w:rsidRPr="002B79BB">
              <w:rPr>
                <w:rFonts w:ascii="Cambria Math" w:hAnsi="Cambria Math" w:cs="Cambria Math"/>
                <w:sz w:val="24"/>
                <w:szCs w:val="24"/>
              </w:rPr>
              <w:t>₂</w:t>
            </w:r>
            <w:r w:rsidR="002B79BB" w:rsidRPr="002B79BB">
              <w:rPr>
                <w:rFonts w:ascii="Arial" w:hAnsi="Arial" w:cs="Arial"/>
                <w:sz w:val="24"/>
                <w:szCs w:val="24"/>
              </w:rPr>
              <w:t xml:space="preserve"> (forma anatasa)</w:t>
            </w:r>
          </w:p>
          <w:p w14:paraId="3F394E59" w14:textId="6B8CF9AA" w:rsidR="002B7F9D" w:rsidRPr="002B79BB" w:rsidRDefault="00DE6685" w:rsidP="00E375E2">
            <w:pPr>
              <w:spacing w:line="360" w:lineRule="auto"/>
              <w:jc w:val="both"/>
              <w:rPr>
                <w:rFonts w:ascii="Arial" w:hAnsi="Arial" w:cs="Arial"/>
                <w:sz w:val="24"/>
                <w:szCs w:val="24"/>
              </w:rPr>
            </w:pPr>
            <w:r w:rsidRPr="002B79BB">
              <w:rPr>
                <w:rFonts w:ascii="Arial" w:hAnsi="Arial" w:cs="Arial"/>
                <w:sz w:val="24"/>
                <w:szCs w:val="24"/>
              </w:rPr>
              <w:t>Formula Química:</w:t>
            </w:r>
            <w:r w:rsidR="00B57A4D" w:rsidRPr="002B79BB">
              <w:rPr>
                <w:rFonts w:ascii="Arial" w:hAnsi="Arial" w:cs="Arial"/>
                <w:sz w:val="24"/>
                <w:szCs w:val="24"/>
              </w:rPr>
              <w:t xml:space="preserve"> </w:t>
            </w:r>
            <w:r w:rsidR="002B79BB" w:rsidRPr="002B79BB">
              <w:rPr>
                <w:rFonts w:ascii="Arial" w:hAnsi="Arial" w:cs="Arial"/>
                <w:sz w:val="24"/>
                <w:szCs w:val="24"/>
              </w:rPr>
              <w:t>TiO</w:t>
            </w:r>
            <w:r w:rsidR="002B79BB" w:rsidRPr="002B79BB">
              <w:rPr>
                <w:rFonts w:ascii="Cambria Math" w:hAnsi="Cambria Math" w:cs="Cambria Math"/>
                <w:sz w:val="24"/>
                <w:szCs w:val="24"/>
              </w:rPr>
              <w:t>₂</w:t>
            </w:r>
          </w:p>
          <w:p w14:paraId="79785DB3" w14:textId="438D7007" w:rsidR="00E375E2" w:rsidRPr="002B79BB" w:rsidRDefault="00E375E2" w:rsidP="00E375E2">
            <w:pPr>
              <w:spacing w:line="360" w:lineRule="auto"/>
              <w:jc w:val="both"/>
              <w:rPr>
                <w:rFonts w:ascii="Arial" w:hAnsi="Arial" w:cs="Arial"/>
                <w:sz w:val="24"/>
                <w:szCs w:val="24"/>
              </w:rPr>
            </w:pPr>
            <w:r w:rsidRPr="002B79BB">
              <w:rPr>
                <w:rFonts w:ascii="Arial" w:hAnsi="Arial" w:cs="Arial"/>
                <w:sz w:val="24"/>
                <w:szCs w:val="24"/>
              </w:rPr>
              <w:t>CAS</w:t>
            </w:r>
            <w:r w:rsidR="00FB6E80" w:rsidRPr="002B79BB">
              <w:rPr>
                <w:rFonts w:ascii="Arial" w:hAnsi="Arial" w:cs="Arial"/>
                <w:sz w:val="24"/>
                <w:szCs w:val="24"/>
              </w:rPr>
              <w:t>:</w:t>
            </w:r>
            <w:r w:rsidR="002B79BB" w:rsidRPr="002B79BB">
              <w:rPr>
                <w:rFonts w:ascii="Arial" w:hAnsi="Arial" w:cs="Arial"/>
                <w:sz w:val="24"/>
                <w:szCs w:val="24"/>
              </w:rPr>
              <w:t xml:space="preserve">  13463-67-7</w:t>
            </w:r>
          </w:p>
          <w:p w14:paraId="0BC1535B" w14:textId="7BE85030" w:rsidR="000E135B" w:rsidRPr="002B79BB" w:rsidRDefault="00DE6685" w:rsidP="009241AE">
            <w:pPr>
              <w:spacing w:line="360" w:lineRule="auto"/>
              <w:jc w:val="both"/>
              <w:rPr>
                <w:rFonts w:ascii="Arial" w:hAnsi="Arial" w:cs="Arial"/>
                <w:sz w:val="24"/>
                <w:szCs w:val="24"/>
              </w:rPr>
            </w:pPr>
            <w:r w:rsidRPr="002B79BB">
              <w:rPr>
                <w:rFonts w:ascii="Arial" w:hAnsi="Arial" w:cs="Arial"/>
                <w:sz w:val="24"/>
                <w:szCs w:val="24"/>
              </w:rPr>
              <w:t>EINECS:</w:t>
            </w:r>
            <w:r w:rsidR="00A21D43" w:rsidRPr="002B79BB">
              <w:rPr>
                <w:rFonts w:ascii="Arial" w:hAnsi="Arial" w:cs="Arial"/>
                <w:sz w:val="24"/>
                <w:szCs w:val="24"/>
              </w:rPr>
              <w:t xml:space="preserve"> </w:t>
            </w:r>
            <w:r w:rsidR="002B79BB" w:rsidRPr="002B79BB">
              <w:rPr>
                <w:rFonts w:ascii="Arial" w:hAnsi="Arial" w:cs="Arial"/>
                <w:sz w:val="24"/>
                <w:szCs w:val="24"/>
              </w:rPr>
              <w:t>236-675-5</w:t>
            </w:r>
          </w:p>
          <w:p w14:paraId="585CF48C" w14:textId="77777777" w:rsidR="00DE6685" w:rsidRPr="002B79BB" w:rsidRDefault="00DE6685" w:rsidP="009241AE">
            <w:pPr>
              <w:spacing w:line="360" w:lineRule="auto"/>
              <w:jc w:val="both"/>
              <w:rPr>
                <w:rFonts w:ascii="Arial" w:hAnsi="Arial" w:cs="Arial"/>
                <w:sz w:val="24"/>
                <w:szCs w:val="24"/>
              </w:rPr>
            </w:pPr>
            <w:r w:rsidRPr="002B79BB">
              <w:rPr>
                <w:rFonts w:ascii="Arial" w:hAnsi="Arial" w:cs="Arial"/>
                <w:sz w:val="24"/>
                <w:szCs w:val="24"/>
              </w:rPr>
              <w:t xml:space="preserve">Identificación de la empresa: QUIMIFOREN S.A.S </w:t>
            </w:r>
          </w:p>
          <w:p w14:paraId="1A593D4C" w14:textId="31DD731B" w:rsidR="002B79BB" w:rsidRPr="002B79BB" w:rsidRDefault="002B79BB" w:rsidP="009241AE">
            <w:pPr>
              <w:spacing w:line="360" w:lineRule="auto"/>
              <w:jc w:val="both"/>
              <w:rPr>
                <w:rFonts w:ascii="Arial" w:hAnsi="Arial" w:cs="Arial"/>
                <w:sz w:val="24"/>
                <w:szCs w:val="24"/>
              </w:rPr>
            </w:pPr>
            <w:r w:rsidRPr="002B79B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1CDF6C7" w14:textId="77777777" w:rsidR="00A21D43" w:rsidRDefault="002B79BB" w:rsidP="00FB6E80">
            <w:pPr>
              <w:spacing w:line="360" w:lineRule="auto"/>
              <w:jc w:val="both"/>
              <w:rPr>
                <w:rFonts w:ascii="Arial" w:hAnsi="Arial" w:cs="Arial"/>
                <w:sz w:val="24"/>
                <w:szCs w:val="24"/>
              </w:rPr>
            </w:pPr>
            <w:r w:rsidRPr="002B79BB">
              <w:rPr>
                <w:rFonts w:ascii="Arial" w:hAnsi="Arial" w:cs="Arial"/>
                <w:sz w:val="24"/>
                <w:szCs w:val="24"/>
              </w:rPr>
              <w:t>El Dióxido de Titanio Anatase es un polvo blanco de alta pureza con excelente capacidad de dispersión y opacidad. Su estructura cristalina le otorga propiedades ópticas y fotocatalíticas, lo que lo hace útil en diversas aplicaciones industriales. Es insoluble en agua y presenta una gran estabilidad térmica y química. Su alta reflectancia y capacidad de absorción de la luz ultravioleta lo convierten en un componente clave en recubrimientos, cosméticos, plásticos y aplicaciones ambientales.</w:t>
            </w:r>
          </w:p>
          <w:p w14:paraId="740EF0EB" w14:textId="447FB19F" w:rsidR="002B79BB" w:rsidRPr="00286CEA" w:rsidRDefault="002B79B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2F0A3E" w14:textId="77777777" w:rsidR="002B79BB" w:rsidRDefault="002B79BB" w:rsidP="00D2307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2307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0FE4878" w14:textId="77777777" w:rsidR="002B79BB" w:rsidRDefault="002B79BB" w:rsidP="00D23078">
                  <w:pPr>
                    <w:framePr w:hSpace="141" w:wrap="around" w:vAnchor="text" w:hAnchor="margin" w:y="334"/>
                    <w:spacing w:line="276" w:lineRule="auto"/>
                    <w:jc w:val="center"/>
                    <w:rPr>
                      <w:rFonts w:ascii="Arial" w:hAnsi="Arial" w:cs="Arial"/>
                      <w:b/>
                      <w:bCs/>
                      <w:sz w:val="24"/>
                      <w:szCs w:val="24"/>
                    </w:rPr>
                  </w:pPr>
                </w:p>
                <w:p w14:paraId="7101E4DE" w14:textId="77777777" w:rsidR="00286CEA" w:rsidRDefault="002B79BB" w:rsidP="00D23078">
                  <w:pPr>
                    <w:framePr w:hSpace="141" w:wrap="around" w:vAnchor="text" w:hAnchor="margin" w:y="334"/>
                    <w:spacing w:line="276" w:lineRule="auto"/>
                    <w:jc w:val="center"/>
                    <w:rPr>
                      <w:rFonts w:ascii="Arial" w:hAnsi="Arial" w:cs="Arial"/>
                      <w:b/>
                      <w:bCs/>
                      <w:sz w:val="24"/>
                      <w:szCs w:val="24"/>
                    </w:rPr>
                  </w:pPr>
                  <w:r w:rsidRPr="002B79BB">
                    <w:rPr>
                      <w:rFonts w:ascii="Arial" w:hAnsi="Arial" w:cs="Arial"/>
                      <w:b/>
                      <w:bCs/>
                      <w:sz w:val="24"/>
                      <w:szCs w:val="24"/>
                    </w:rPr>
                    <w:t>DIÓXIDO DE TITANIO ANATASE</w:t>
                  </w:r>
                </w:p>
                <w:p w14:paraId="06CDA201" w14:textId="3741C3D0" w:rsidR="002B79BB" w:rsidRPr="001519DA" w:rsidRDefault="002B79BB" w:rsidP="00D23078">
                  <w:pPr>
                    <w:framePr w:hSpace="141" w:wrap="around" w:vAnchor="text" w:hAnchor="margin" w:y="334"/>
                    <w:spacing w:line="276" w:lineRule="auto"/>
                    <w:jc w:val="center"/>
                    <w:rPr>
                      <w:rFonts w:ascii="Arial" w:hAnsi="Arial" w:cs="Arial"/>
                      <w:b/>
                      <w:bCs/>
                      <w:sz w:val="24"/>
                      <w:szCs w:val="24"/>
                    </w:rPr>
                  </w:pPr>
                </w:p>
              </w:tc>
            </w:tr>
            <w:tr w:rsidR="002B79BB" w:rsidRPr="00370BF5" w14:paraId="33A84966" w14:textId="77777777" w:rsidTr="009B4F27">
              <w:trPr>
                <w:trHeight w:val="17"/>
                <w:jc w:val="center"/>
              </w:trPr>
              <w:tc>
                <w:tcPr>
                  <w:tcW w:w="3160" w:type="dxa"/>
                </w:tcPr>
                <w:p w14:paraId="5B7B4387" w14:textId="084502F1"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lastRenderedPageBreak/>
                    <w:t>Apariencia</w:t>
                  </w:r>
                </w:p>
              </w:tc>
              <w:tc>
                <w:tcPr>
                  <w:tcW w:w="3160" w:type="dxa"/>
                </w:tcPr>
                <w:p w14:paraId="22DA818A" w14:textId="5A8E8C39"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Polvo blanco</w:t>
                  </w:r>
                </w:p>
              </w:tc>
            </w:tr>
            <w:tr w:rsidR="002B79BB" w:rsidRPr="00370BF5" w14:paraId="0EE171D9" w14:textId="77777777" w:rsidTr="009B4F27">
              <w:trPr>
                <w:trHeight w:val="17"/>
                <w:jc w:val="center"/>
              </w:trPr>
              <w:tc>
                <w:tcPr>
                  <w:tcW w:w="3160" w:type="dxa"/>
                </w:tcPr>
                <w:p w14:paraId="5A14A5B8" w14:textId="29A65B26"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Olor</w:t>
                  </w:r>
                </w:p>
              </w:tc>
              <w:tc>
                <w:tcPr>
                  <w:tcW w:w="3160" w:type="dxa"/>
                </w:tcPr>
                <w:p w14:paraId="6526719D" w14:textId="6E037E9E"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Inodoro</w:t>
                  </w:r>
                </w:p>
              </w:tc>
            </w:tr>
            <w:tr w:rsidR="002B79BB" w:rsidRPr="00370BF5" w14:paraId="7CD7FBDE" w14:textId="77777777" w:rsidTr="009B4F27">
              <w:trPr>
                <w:trHeight w:val="17"/>
                <w:jc w:val="center"/>
              </w:trPr>
              <w:tc>
                <w:tcPr>
                  <w:tcW w:w="3160" w:type="dxa"/>
                </w:tcPr>
                <w:p w14:paraId="79D95530" w14:textId="77777777"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Pureza</w:t>
                  </w:r>
                </w:p>
              </w:tc>
              <w:tc>
                <w:tcPr>
                  <w:tcW w:w="3160" w:type="dxa"/>
                </w:tcPr>
                <w:p w14:paraId="21A61DF5" w14:textId="661535C8"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99.00 min</w:t>
                  </w:r>
                </w:p>
              </w:tc>
            </w:tr>
            <w:tr w:rsidR="002B79BB" w:rsidRPr="00370BF5" w14:paraId="6066EB74" w14:textId="77777777" w:rsidTr="009B4F27">
              <w:trPr>
                <w:trHeight w:val="17"/>
                <w:jc w:val="center"/>
              </w:trPr>
              <w:tc>
                <w:tcPr>
                  <w:tcW w:w="3160" w:type="dxa"/>
                </w:tcPr>
                <w:p w14:paraId="04E678E0" w14:textId="77777777"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Solubilidad</w:t>
                  </w:r>
                </w:p>
              </w:tc>
              <w:tc>
                <w:tcPr>
                  <w:tcW w:w="3160" w:type="dxa"/>
                </w:tcPr>
                <w:p w14:paraId="18B7DB5B" w14:textId="23960C24"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Insoluble en agua y solventes orgánicos</w:t>
                  </w:r>
                </w:p>
              </w:tc>
            </w:tr>
            <w:tr w:rsidR="002B79BB" w:rsidRPr="00370BF5" w14:paraId="3BFA7F4C" w14:textId="77777777" w:rsidTr="009B4F27">
              <w:trPr>
                <w:trHeight w:val="17"/>
                <w:jc w:val="center"/>
              </w:trPr>
              <w:tc>
                <w:tcPr>
                  <w:tcW w:w="3160" w:type="dxa"/>
                </w:tcPr>
                <w:p w14:paraId="6763A039" w14:textId="77777777"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pH</w:t>
                  </w:r>
                </w:p>
              </w:tc>
              <w:tc>
                <w:tcPr>
                  <w:tcW w:w="3160" w:type="dxa"/>
                </w:tcPr>
                <w:p w14:paraId="740697CD" w14:textId="128B8831"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6.0 - 8.5 (dispersión en agua al 10%)</w:t>
                  </w:r>
                </w:p>
              </w:tc>
            </w:tr>
            <w:tr w:rsidR="002B79BB" w:rsidRPr="00370BF5" w14:paraId="063978B9" w14:textId="77777777" w:rsidTr="009B4F27">
              <w:trPr>
                <w:trHeight w:val="17"/>
                <w:jc w:val="center"/>
              </w:trPr>
              <w:tc>
                <w:tcPr>
                  <w:tcW w:w="3160" w:type="dxa"/>
                </w:tcPr>
                <w:p w14:paraId="13F248C6" w14:textId="54EF26ED"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 xml:space="preserve">Peso molecular </w:t>
                  </w:r>
                </w:p>
              </w:tc>
              <w:tc>
                <w:tcPr>
                  <w:tcW w:w="3160" w:type="dxa"/>
                </w:tcPr>
                <w:p w14:paraId="50DE9651" w14:textId="645ABE7A"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79.87 g/mol</w:t>
                  </w:r>
                </w:p>
              </w:tc>
            </w:tr>
            <w:tr w:rsidR="002B79BB" w:rsidRPr="00370BF5" w14:paraId="5EFDB2AB" w14:textId="77777777" w:rsidTr="009B4F27">
              <w:trPr>
                <w:trHeight w:val="17"/>
                <w:jc w:val="center"/>
              </w:trPr>
              <w:tc>
                <w:tcPr>
                  <w:tcW w:w="3160" w:type="dxa"/>
                </w:tcPr>
                <w:p w14:paraId="4F5978FB" w14:textId="2C79093D"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Times New Roman" w:hAnsi="Arial" w:cs="Arial"/>
                      <w:color w:val="181818"/>
                      <w:sz w:val="24"/>
                      <w:szCs w:val="24"/>
                      <w:lang w:eastAsia="es-CO"/>
                    </w:rPr>
                    <w:t>Punto de fusión</w:t>
                  </w:r>
                </w:p>
              </w:tc>
              <w:tc>
                <w:tcPr>
                  <w:tcW w:w="3160" w:type="dxa"/>
                </w:tcPr>
                <w:p w14:paraId="36831D09" w14:textId="0A99F622" w:rsidR="002B79BB" w:rsidRPr="002B79BB" w:rsidRDefault="002B79BB" w:rsidP="00D23078">
                  <w:pPr>
                    <w:framePr w:hSpace="141" w:wrap="around" w:vAnchor="text" w:hAnchor="margin" w:y="334"/>
                    <w:tabs>
                      <w:tab w:val="left" w:pos="846"/>
                    </w:tabs>
                    <w:spacing w:line="360" w:lineRule="auto"/>
                    <w:jc w:val="center"/>
                    <w:rPr>
                      <w:rFonts w:ascii="Arial" w:hAnsi="Arial" w:cs="Arial"/>
                      <w:sz w:val="24"/>
                      <w:szCs w:val="24"/>
                    </w:rPr>
                  </w:pPr>
                  <w:r w:rsidRPr="002B79BB">
                    <w:rPr>
                      <w:rFonts w:ascii="Arial" w:hAnsi="Arial" w:cs="Arial"/>
                      <w:sz w:val="24"/>
                      <w:szCs w:val="24"/>
                    </w:rPr>
                    <w:t>1,843°C</w:t>
                  </w:r>
                </w:p>
              </w:tc>
            </w:tr>
            <w:bookmarkEnd w:id="1"/>
          </w:tbl>
          <w:p w14:paraId="5F6522B7"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B79BB" w:rsidRPr="00370BF5" w:rsidRDefault="002B79B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841487" w14:textId="77777777" w:rsidR="002B79BB" w:rsidRPr="00370BF5" w:rsidRDefault="002B79BB" w:rsidP="002B79BB">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881"/>
              <w:gridCol w:w="3881"/>
            </w:tblGrid>
            <w:tr w:rsidR="002B482E" w:rsidRPr="00370BF5" w14:paraId="79AC08D9" w14:textId="77777777" w:rsidTr="002B79BB">
              <w:trPr>
                <w:trHeight w:val="256"/>
                <w:jc w:val="center"/>
              </w:trPr>
              <w:tc>
                <w:tcPr>
                  <w:tcW w:w="3881" w:type="dxa"/>
                </w:tcPr>
                <w:p w14:paraId="502635BD" w14:textId="77777777" w:rsidR="002B79BB" w:rsidRDefault="002B79BB" w:rsidP="00D2307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2307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881" w:type="dxa"/>
                </w:tcPr>
                <w:p w14:paraId="1C1E4412" w14:textId="77777777" w:rsidR="002B79BB" w:rsidRDefault="002B79BB" w:rsidP="00D23078">
                  <w:pPr>
                    <w:framePr w:hSpace="141" w:wrap="around" w:vAnchor="text" w:hAnchor="margin" w:y="334"/>
                    <w:spacing w:line="276" w:lineRule="auto"/>
                    <w:jc w:val="center"/>
                    <w:rPr>
                      <w:rFonts w:ascii="Arial" w:hAnsi="Arial" w:cs="Arial"/>
                      <w:b/>
                      <w:bCs/>
                      <w:sz w:val="24"/>
                      <w:szCs w:val="24"/>
                    </w:rPr>
                  </w:pPr>
                </w:p>
                <w:p w14:paraId="04D28AAA" w14:textId="77777777" w:rsidR="002B79BB" w:rsidRDefault="002B79BB" w:rsidP="00D23078">
                  <w:pPr>
                    <w:framePr w:hSpace="141" w:wrap="around" w:vAnchor="text" w:hAnchor="margin" w:y="334"/>
                    <w:spacing w:line="276" w:lineRule="auto"/>
                    <w:jc w:val="center"/>
                    <w:rPr>
                      <w:rFonts w:ascii="Arial" w:hAnsi="Arial" w:cs="Arial"/>
                      <w:b/>
                      <w:bCs/>
                      <w:sz w:val="24"/>
                      <w:szCs w:val="24"/>
                    </w:rPr>
                  </w:pPr>
                  <w:r w:rsidRPr="002B79BB">
                    <w:rPr>
                      <w:rFonts w:ascii="Arial" w:hAnsi="Arial" w:cs="Arial"/>
                      <w:b/>
                      <w:bCs/>
                      <w:sz w:val="24"/>
                      <w:szCs w:val="24"/>
                    </w:rPr>
                    <w:t>DIÓXIDO DE TITANIO ANATASE</w:t>
                  </w:r>
                </w:p>
                <w:p w14:paraId="52935837" w14:textId="0C05F3C3" w:rsidR="002B482E" w:rsidRPr="001519DA" w:rsidRDefault="002B482E" w:rsidP="00D23078">
                  <w:pPr>
                    <w:framePr w:hSpace="141" w:wrap="around" w:vAnchor="text" w:hAnchor="margin" w:y="334"/>
                    <w:jc w:val="center"/>
                    <w:rPr>
                      <w:rFonts w:ascii="Arial" w:hAnsi="Arial" w:cs="Arial"/>
                      <w:b/>
                      <w:bCs/>
                      <w:sz w:val="24"/>
                      <w:szCs w:val="24"/>
                    </w:rPr>
                  </w:pPr>
                </w:p>
              </w:tc>
            </w:tr>
            <w:bookmarkEnd w:id="2"/>
            <w:tr w:rsidR="002B79BB" w:rsidRPr="002B79BB" w14:paraId="4942E3B8" w14:textId="77777777" w:rsidTr="002B79BB">
              <w:trPr>
                <w:trHeight w:val="533"/>
                <w:jc w:val="center"/>
              </w:trPr>
              <w:tc>
                <w:tcPr>
                  <w:tcW w:w="3881" w:type="dxa"/>
                </w:tcPr>
                <w:p w14:paraId="57DC68FD" w14:textId="0DE45B6F"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D50</w:t>
                  </w:r>
                </w:p>
              </w:tc>
              <w:tc>
                <w:tcPr>
                  <w:tcW w:w="3881" w:type="dxa"/>
                </w:tcPr>
                <w:p w14:paraId="524557B7" w14:textId="0C946195"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0.10 min</w:t>
                  </w:r>
                </w:p>
              </w:tc>
            </w:tr>
            <w:tr w:rsidR="002B79BB" w:rsidRPr="002B79BB" w14:paraId="2FF12C74" w14:textId="77777777" w:rsidTr="002B79BB">
              <w:trPr>
                <w:trHeight w:val="515"/>
                <w:jc w:val="center"/>
              </w:trPr>
              <w:tc>
                <w:tcPr>
                  <w:tcW w:w="3881" w:type="dxa"/>
                </w:tcPr>
                <w:p w14:paraId="2626D453" w14:textId="337043B5"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Poder aclararte[%]</w:t>
                  </w:r>
                </w:p>
              </w:tc>
              <w:tc>
                <w:tcPr>
                  <w:tcW w:w="3881" w:type="dxa"/>
                </w:tcPr>
                <w:p w14:paraId="7CA3B8B0" w14:textId="74E24188"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95.00 min</w:t>
                  </w:r>
                </w:p>
              </w:tc>
            </w:tr>
            <w:tr w:rsidR="002B79BB" w:rsidRPr="002B79BB" w14:paraId="19B2502C" w14:textId="77777777" w:rsidTr="002B79BB">
              <w:trPr>
                <w:trHeight w:val="533"/>
                <w:jc w:val="center"/>
              </w:trPr>
              <w:tc>
                <w:tcPr>
                  <w:tcW w:w="3881" w:type="dxa"/>
                </w:tcPr>
                <w:p w14:paraId="74A28E10" w14:textId="57B2F044"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Pérdidas por secado [%]</w:t>
                  </w:r>
                </w:p>
              </w:tc>
              <w:tc>
                <w:tcPr>
                  <w:tcW w:w="3881" w:type="dxa"/>
                </w:tcPr>
                <w:p w14:paraId="41A2B2CE" w14:textId="06B835FA"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0.50 máx.</w:t>
                  </w:r>
                </w:p>
              </w:tc>
            </w:tr>
            <w:tr w:rsidR="002B79BB" w:rsidRPr="002B79BB" w14:paraId="1AB445E5" w14:textId="77777777" w:rsidTr="002B79BB">
              <w:trPr>
                <w:trHeight w:val="533"/>
                <w:jc w:val="center"/>
              </w:trPr>
              <w:tc>
                <w:tcPr>
                  <w:tcW w:w="3881" w:type="dxa"/>
                </w:tcPr>
                <w:p w14:paraId="12B46CED" w14:textId="63FB600E" w:rsidR="002B79BB" w:rsidRPr="002B79BB" w:rsidRDefault="002B79BB" w:rsidP="00D23078">
                  <w:pPr>
                    <w:framePr w:hSpace="141" w:wrap="around" w:vAnchor="text" w:hAnchor="margin" w:y="334"/>
                    <w:tabs>
                      <w:tab w:val="left" w:pos="2034"/>
                    </w:tabs>
                    <w:spacing w:line="360" w:lineRule="auto"/>
                    <w:jc w:val="center"/>
                    <w:rPr>
                      <w:rFonts w:ascii="Arial" w:hAnsi="Arial" w:cs="Arial"/>
                      <w:sz w:val="24"/>
                      <w:szCs w:val="24"/>
                      <w:highlight w:val="yellow"/>
                    </w:rPr>
                  </w:pPr>
                  <w:r w:rsidRPr="002B79BB">
                    <w:rPr>
                      <w:rFonts w:ascii="Arial" w:eastAsia="Roboto" w:hAnsi="Arial" w:cs="Arial"/>
                      <w:sz w:val="24"/>
                      <w:szCs w:val="24"/>
                    </w:rPr>
                    <w:t>Residuos de ignición [%]</w:t>
                  </w:r>
                </w:p>
              </w:tc>
              <w:tc>
                <w:tcPr>
                  <w:tcW w:w="3881" w:type="dxa"/>
                </w:tcPr>
                <w:p w14:paraId="2EC37034" w14:textId="3DA0E7AE" w:rsidR="002B79BB" w:rsidRPr="002B79BB" w:rsidRDefault="002B79BB" w:rsidP="00D23078">
                  <w:pPr>
                    <w:framePr w:hSpace="141" w:wrap="around" w:vAnchor="text" w:hAnchor="margin" w:y="334"/>
                    <w:spacing w:line="360" w:lineRule="auto"/>
                    <w:jc w:val="center"/>
                    <w:rPr>
                      <w:rFonts w:ascii="Arial" w:hAnsi="Arial" w:cs="Arial"/>
                      <w:sz w:val="24"/>
                      <w:szCs w:val="24"/>
                      <w:highlight w:val="yellow"/>
                    </w:rPr>
                  </w:pPr>
                  <w:r w:rsidRPr="002B79BB">
                    <w:rPr>
                      <w:rFonts w:ascii="Arial" w:eastAsia="Roboto" w:hAnsi="Arial" w:cs="Arial"/>
                      <w:sz w:val="24"/>
                      <w:szCs w:val="24"/>
                    </w:rPr>
                    <w:t>0.50 máx.</w:t>
                  </w:r>
                </w:p>
              </w:tc>
            </w:tr>
            <w:tr w:rsidR="002B79BB" w:rsidRPr="002B79BB" w14:paraId="4BE3CD46" w14:textId="77777777" w:rsidTr="002B79BB">
              <w:trPr>
                <w:trHeight w:val="515"/>
                <w:jc w:val="center"/>
              </w:trPr>
              <w:tc>
                <w:tcPr>
                  <w:tcW w:w="3881" w:type="dxa"/>
                </w:tcPr>
                <w:p w14:paraId="4FE094B6" w14:textId="60E4DBF2"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Sustancias insolubles en agua [%]</w:t>
                  </w:r>
                </w:p>
              </w:tc>
              <w:tc>
                <w:tcPr>
                  <w:tcW w:w="3881" w:type="dxa"/>
                </w:tcPr>
                <w:p w14:paraId="5F9AACCB" w14:textId="46D6B5AB"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0.25 máx</w:t>
                  </w:r>
                </w:p>
              </w:tc>
            </w:tr>
            <w:tr w:rsidR="002B79BB" w:rsidRPr="002B79BB" w14:paraId="17EB842C" w14:textId="77777777" w:rsidTr="002B79BB">
              <w:trPr>
                <w:trHeight w:val="533"/>
                <w:jc w:val="center"/>
              </w:trPr>
              <w:tc>
                <w:tcPr>
                  <w:tcW w:w="3881" w:type="dxa"/>
                </w:tcPr>
                <w:p w14:paraId="2165D098" w14:textId="36044A65"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Sustancias insolubles en ácido [%]</w:t>
                  </w:r>
                </w:p>
              </w:tc>
              <w:tc>
                <w:tcPr>
                  <w:tcW w:w="3881" w:type="dxa"/>
                </w:tcPr>
                <w:p w14:paraId="4FEED198" w14:textId="5DA6E665"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0.50 máx</w:t>
                  </w:r>
                </w:p>
              </w:tc>
            </w:tr>
            <w:tr w:rsidR="002B79BB" w:rsidRPr="002B79BB" w14:paraId="0738FD52" w14:textId="77777777" w:rsidTr="002B79BB">
              <w:trPr>
                <w:trHeight w:val="515"/>
                <w:jc w:val="center"/>
              </w:trPr>
              <w:tc>
                <w:tcPr>
                  <w:tcW w:w="3881" w:type="dxa"/>
                </w:tcPr>
                <w:p w14:paraId="718A9015" w14:textId="66E1AB7F"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Sales férricas [%]</w:t>
                  </w:r>
                </w:p>
              </w:tc>
              <w:tc>
                <w:tcPr>
                  <w:tcW w:w="3881" w:type="dxa"/>
                </w:tcPr>
                <w:p w14:paraId="343C453D" w14:textId="7A7D1C2C"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0.02 máx</w:t>
                  </w:r>
                </w:p>
              </w:tc>
            </w:tr>
            <w:tr w:rsidR="002B79BB" w:rsidRPr="002B79BB" w14:paraId="51DC1F62" w14:textId="77777777" w:rsidTr="002B79BB">
              <w:tblPrEx>
                <w:tblCellMar>
                  <w:left w:w="70" w:type="dxa"/>
                  <w:right w:w="70" w:type="dxa"/>
                </w:tblCellMar>
                <w:tblLook w:val="0000" w:firstRow="0" w:lastRow="0" w:firstColumn="0" w:lastColumn="0" w:noHBand="0" w:noVBand="0"/>
              </w:tblPrEx>
              <w:trPr>
                <w:trHeight w:val="162"/>
                <w:jc w:val="center"/>
              </w:trPr>
              <w:tc>
                <w:tcPr>
                  <w:tcW w:w="3881" w:type="dxa"/>
                  <w:shd w:val="clear" w:color="auto" w:fill="auto"/>
                </w:tcPr>
                <w:p w14:paraId="74489B6D" w14:textId="559F0E5C"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Blancura [%]</w:t>
                  </w:r>
                </w:p>
              </w:tc>
              <w:tc>
                <w:tcPr>
                  <w:tcW w:w="3881" w:type="dxa"/>
                </w:tcPr>
                <w:p w14:paraId="40C49D87" w14:textId="51F6D522"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96.00 min</w:t>
                  </w:r>
                </w:p>
              </w:tc>
            </w:tr>
            <w:tr w:rsidR="002B79BB" w:rsidRPr="002B79BB" w14:paraId="520CDECE" w14:textId="77777777" w:rsidTr="002B79BB">
              <w:tblPrEx>
                <w:tblCellMar>
                  <w:left w:w="70" w:type="dxa"/>
                  <w:right w:w="70" w:type="dxa"/>
                </w:tblCellMar>
                <w:tblLook w:val="0000" w:firstRow="0" w:lastRow="0" w:firstColumn="0" w:lastColumn="0" w:noHBand="0" w:noVBand="0"/>
              </w:tblPrEx>
              <w:trPr>
                <w:trHeight w:val="166"/>
                <w:jc w:val="center"/>
              </w:trPr>
              <w:tc>
                <w:tcPr>
                  <w:tcW w:w="3881" w:type="dxa"/>
                  <w:shd w:val="clear" w:color="auto" w:fill="auto"/>
                </w:tcPr>
                <w:p w14:paraId="218ACFD3" w14:textId="055B60E8"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Alúmina y Sílice</w:t>
                  </w:r>
                </w:p>
              </w:tc>
              <w:tc>
                <w:tcPr>
                  <w:tcW w:w="3881" w:type="dxa"/>
                </w:tcPr>
                <w:p w14:paraId="655391CA" w14:textId="1DA158CF"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0.50 máx</w:t>
                  </w:r>
                </w:p>
              </w:tc>
            </w:tr>
            <w:tr w:rsidR="002B79BB" w:rsidRPr="002B79BB" w14:paraId="31C97F8A" w14:textId="77777777" w:rsidTr="002B79BB">
              <w:tblPrEx>
                <w:tblCellMar>
                  <w:left w:w="70" w:type="dxa"/>
                  <w:right w:w="70" w:type="dxa"/>
                </w:tblCellMar>
                <w:tblLook w:val="0000" w:firstRow="0" w:lastRow="0" w:firstColumn="0" w:lastColumn="0" w:noHBand="0" w:noVBand="0"/>
              </w:tblPrEx>
              <w:trPr>
                <w:trHeight w:val="232"/>
                <w:jc w:val="center"/>
              </w:trPr>
              <w:tc>
                <w:tcPr>
                  <w:tcW w:w="3881" w:type="dxa"/>
                  <w:shd w:val="clear" w:color="auto" w:fill="auto"/>
                </w:tcPr>
                <w:p w14:paraId="493F2CC3" w14:textId="51D8BD56"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Plomo [ppm]</w:t>
                  </w:r>
                </w:p>
              </w:tc>
              <w:tc>
                <w:tcPr>
                  <w:tcW w:w="3881" w:type="dxa"/>
                </w:tcPr>
                <w:p w14:paraId="17A50BFC" w14:textId="02E478AB"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3.00 máx</w:t>
                  </w:r>
                </w:p>
              </w:tc>
            </w:tr>
            <w:tr w:rsidR="002B79BB" w:rsidRPr="002B79BB" w14:paraId="5EB66C90" w14:textId="77777777" w:rsidTr="002B79BB">
              <w:tblPrEx>
                <w:tblCellMar>
                  <w:left w:w="70" w:type="dxa"/>
                  <w:right w:w="70" w:type="dxa"/>
                </w:tblCellMar>
                <w:tblLook w:val="0000" w:firstRow="0" w:lastRow="0" w:firstColumn="0" w:lastColumn="0" w:noHBand="0" w:noVBand="0"/>
              </w:tblPrEx>
              <w:trPr>
                <w:trHeight w:val="178"/>
                <w:jc w:val="center"/>
              </w:trPr>
              <w:tc>
                <w:tcPr>
                  <w:tcW w:w="3881" w:type="dxa"/>
                  <w:shd w:val="clear" w:color="auto" w:fill="auto"/>
                </w:tcPr>
                <w:p w14:paraId="29C93097" w14:textId="11F5E53B"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Arsénico [ppm]</w:t>
                  </w:r>
                </w:p>
              </w:tc>
              <w:tc>
                <w:tcPr>
                  <w:tcW w:w="3881" w:type="dxa"/>
                </w:tcPr>
                <w:p w14:paraId="2659D112" w14:textId="2167C940"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1.00 máx</w:t>
                  </w:r>
                </w:p>
              </w:tc>
            </w:tr>
            <w:tr w:rsidR="002B79BB" w:rsidRPr="002B79BB" w14:paraId="7BA41752" w14:textId="77777777" w:rsidTr="002B79BB">
              <w:tblPrEx>
                <w:tblCellMar>
                  <w:left w:w="70" w:type="dxa"/>
                  <w:right w:w="70" w:type="dxa"/>
                </w:tblCellMar>
                <w:tblLook w:val="0000" w:firstRow="0" w:lastRow="0" w:firstColumn="0" w:lastColumn="0" w:noHBand="0" w:noVBand="0"/>
              </w:tblPrEx>
              <w:trPr>
                <w:trHeight w:val="216"/>
                <w:jc w:val="center"/>
              </w:trPr>
              <w:tc>
                <w:tcPr>
                  <w:tcW w:w="3881" w:type="dxa"/>
                  <w:shd w:val="clear" w:color="auto" w:fill="auto"/>
                </w:tcPr>
                <w:p w14:paraId="39932A6D" w14:textId="25A06B4D"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lastRenderedPageBreak/>
                    <w:t>Antimonio [ppm]</w:t>
                  </w:r>
                </w:p>
              </w:tc>
              <w:tc>
                <w:tcPr>
                  <w:tcW w:w="3881" w:type="dxa"/>
                </w:tcPr>
                <w:p w14:paraId="5DCF7ABA" w14:textId="164134A7"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1.00 máx</w:t>
                  </w:r>
                </w:p>
              </w:tc>
            </w:tr>
            <w:tr w:rsidR="002B79BB" w:rsidRPr="002B79BB" w14:paraId="1756BE02" w14:textId="77777777" w:rsidTr="002B79BB">
              <w:tblPrEx>
                <w:tblCellMar>
                  <w:left w:w="70" w:type="dxa"/>
                  <w:right w:w="70" w:type="dxa"/>
                </w:tblCellMar>
                <w:tblLook w:val="0000" w:firstRow="0" w:lastRow="0" w:firstColumn="0" w:lastColumn="0" w:noHBand="0" w:noVBand="0"/>
              </w:tblPrEx>
              <w:trPr>
                <w:trHeight w:val="216"/>
                <w:jc w:val="center"/>
              </w:trPr>
              <w:tc>
                <w:tcPr>
                  <w:tcW w:w="3881" w:type="dxa"/>
                  <w:shd w:val="clear" w:color="auto" w:fill="auto"/>
                </w:tcPr>
                <w:p w14:paraId="59820CB2" w14:textId="5E8DAFAD"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Mercurio [ppm]</w:t>
                  </w:r>
                </w:p>
              </w:tc>
              <w:tc>
                <w:tcPr>
                  <w:tcW w:w="3881" w:type="dxa"/>
                </w:tcPr>
                <w:p w14:paraId="6D2DF682" w14:textId="7C9964D9"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0.20 máx</w:t>
                  </w:r>
                </w:p>
              </w:tc>
            </w:tr>
            <w:tr w:rsidR="002B79BB" w:rsidRPr="002B79BB" w14:paraId="3A721A67" w14:textId="77777777" w:rsidTr="002B79BB">
              <w:tblPrEx>
                <w:tblCellMar>
                  <w:left w:w="70" w:type="dxa"/>
                  <w:right w:w="70" w:type="dxa"/>
                </w:tblCellMar>
                <w:tblLook w:val="0000" w:firstRow="0" w:lastRow="0" w:firstColumn="0" w:lastColumn="0" w:noHBand="0" w:noVBand="0"/>
              </w:tblPrEx>
              <w:trPr>
                <w:trHeight w:val="162"/>
                <w:jc w:val="center"/>
              </w:trPr>
              <w:tc>
                <w:tcPr>
                  <w:tcW w:w="3881" w:type="dxa"/>
                  <w:shd w:val="clear" w:color="auto" w:fill="auto"/>
                </w:tcPr>
                <w:p w14:paraId="1333EA6C" w14:textId="23BED358"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Cadmio [ppm]</w:t>
                  </w:r>
                </w:p>
              </w:tc>
              <w:tc>
                <w:tcPr>
                  <w:tcW w:w="3881" w:type="dxa"/>
                </w:tcPr>
                <w:p w14:paraId="49B4DC3E" w14:textId="6ABE89D8"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0.50 máx</w:t>
                  </w:r>
                </w:p>
              </w:tc>
            </w:tr>
            <w:tr w:rsidR="002B79BB" w:rsidRPr="002B79BB" w14:paraId="2456429C" w14:textId="77777777" w:rsidTr="002B79BB">
              <w:tblPrEx>
                <w:tblCellMar>
                  <w:left w:w="70" w:type="dxa"/>
                  <w:right w:w="70" w:type="dxa"/>
                </w:tblCellMar>
                <w:tblLook w:val="0000" w:firstRow="0" w:lastRow="0" w:firstColumn="0" w:lastColumn="0" w:noHBand="0" w:noVBand="0"/>
              </w:tblPrEx>
              <w:trPr>
                <w:trHeight w:val="232"/>
                <w:jc w:val="center"/>
              </w:trPr>
              <w:tc>
                <w:tcPr>
                  <w:tcW w:w="3881" w:type="dxa"/>
                  <w:shd w:val="clear" w:color="auto" w:fill="auto"/>
                </w:tcPr>
                <w:p w14:paraId="5536EA22" w14:textId="2ABB0A1F"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Cromo [ppm]</w:t>
                  </w:r>
                </w:p>
              </w:tc>
              <w:tc>
                <w:tcPr>
                  <w:tcW w:w="3881" w:type="dxa"/>
                </w:tcPr>
                <w:p w14:paraId="36C0FA7C" w14:textId="64801B41"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10.00 máx</w:t>
                  </w:r>
                </w:p>
              </w:tc>
            </w:tr>
            <w:tr w:rsidR="002B79BB" w:rsidRPr="002B79BB" w14:paraId="23FDB293" w14:textId="77777777" w:rsidTr="002B79BB">
              <w:tblPrEx>
                <w:tblCellMar>
                  <w:left w:w="70" w:type="dxa"/>
                  <w:right w:w="70" w:type="dxa"/>
                </w:tblCellMar>
                <w:tblLook w:val="0000" w:firstRow="0" w:lastRow="0" w:firstColumn="0" w:lastColumn="0" w:noHBand="0" w:noVBand="0"/>
              </w:tblPrEx>
              <w:trPr>
                <w:trHeight w:val="199"/>
                <w:jc w:val="center"/>
              </w:trPr>
              <w:tc>
                <w:tcPr>
                  <w:tcW w:w="3881" w:type="dxa"/>
                  <w:shd w:val="clear" w:color="auto" w:fill="auto"/>
                </w:tcPr>
                <w:p w14:paraId="20E27300" w14:textId="21A27E35"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pH [Sol. 10%]</w:t>
                  </w:r>
                </w:p>
              </w:tc>
              <w:tc>
                <w:tcPr>
                  <w:tcW w:w="3881" w:type="dxa"/>
                </w:tcPr>
                <w:p w14:paraId="2A629BBF" w14:textId="71D078D0"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6.50 - 8.0</w:t>
                  </w:r>
                </w:p>
              </w:tc>
            </w:tr>
            <w:tr w:rsidR="002B79BB" w:rsidRPr="002B79BB" w14:paraId="6006A3B0" w14:textId="77777777" w:rsidTr="002B79BB">
              <w:tblPrEx>
                <w:tblCellMar>
                  <w:left w:w="70" w:type="dxa"/>
                  <w:right w:w="70" w:type="dxa"/>
                </w:tblCellMar>
                <w:tblLook w:val="0000" w:firstRow="0" w:lastRow="0" w:firstColumn="0" w:lastColumn="0" w:noHBand="0" w:noVBand="0"/>
              </w:tblPrEx>
              <w:trPr>
                <w:trHeight w:val="366"/>
                <w:jc w:val="center"/>
              </w:trPr>
              <w:tc>
                <w:tcPr>
                  <w:tcW w:w="3881" w:type="dxa"/>
                  <w:shd w:val="clear" w:color="auto" w:fill="auto"/>
                </w:tcPr>
                <w:p w14:paraId="16A829F6" w14:textId="65B7C14A"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Conteo total en placa [CFU/g]</w:t>
                  </w:r>
                </w:p>
              </w:tc>
              <w:tc>
                <w:tcPr>
                  <w:tcW w:w="3881" w:type="dxa"/>
                </w:tcPr>
                <w:p w14:paraId="4C5E7DA3" w14:textId="557F2C4B" w:rsidR="002B79BB" w:rsidRPr="002B79BB"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eastAsia="Roboto" w:hAnsi="Arial" w:cs="Arial"/>
                      <w:sz w:val="24"/>
                      <w:szCs w:val="24"/>
                    </w:rPr>
                    <w:t>10² máx</w:t>
                  </w:r>
                </w:p>
              </w:tc>
            </w:tr>
            <w:tr w:rsidR="002B79BB" w:rsidRPr="002B79BB" w14:paraId="01C8271B" w14:textId="77777777" w:rsidTr="002B79BB">
              <w:tblPrEx>
                <w:tblCellMar>
                  <w:left w:w="70" w:type="dxa"/>
                  <w:right w:w="70" w:type="dxa"/>
                </w:tblCellMar>
                <w:tblLook w:val="0000" w:firstRow="0" w:lastRow="0" w:firstColumn="0" w:lastColumn="0" w:noHBand="0" w:noVBand="0"/>
              </w:tblPrEx>
              <w:trPr>
                <w:trHeight w:val="366"/>
                <w:jc w:val="center"/>
              </w:trPr>
              <w:tc>
                <w:tcPr>
                  <w:tcW w:w="3881" w:type="dxa"/>
                  <w:shd w:val="clear" w:color="auto" w:fill="auto"/>
                </w:tcPr>
                <w:p w14:paraId="017BDAF2" w14:textId="7690F9D4" w:rsidR="002B79BB" w:rsidRPr="002B79BB" w:rsidRDefault="002B79BB" w:rsidP="00D23078">
                  <w:pPr>
                    <w:framePr w:hSpace="141" w:wrap="around" w:vAnchor="text" w:hAnchor="margin" w:y="334"/>
                    <w:spacing w:line="360" w:lineRule="auto"/>
                    <w:jc w:val="center"/>
                    <w:rPr>
                      <w:rFonts w:ascii="Arial" w:eastAsia="Roboto" w:hAnsi="Arial" w:cs="Arial"/>
                      <w:sz w:val="24"/>
                      <w:szCs w:val="24"/>
                    </w:rPr>
                  </w:pPr>
                  <w:r w:rsidRPr="002B79BB">
                    <w:rPr>
                      <w:rFonts w:ascii="Arial" w:eastAsia="Roboto" w:hAnsi="Arial" w:cs="Arial"/>
                      <w:sz w:val="24"/>
                      <w:szCs w:val="24"/>
                    </w:rPr>
                    <w:t>Mohos y Levaduras [CFU/g]</w:t>
                  </w:r>
                </w:p>
              </w:tc>
              <w:tc>
                <w:tcPr>
                  <w:tcW w:w="3881" w:type="dxa"/>
                </w:tcPr>
                <w:p w14:paraId="078B3049" w14:textId="32CD395C" w:rsidR="002B79BB" w:rsidRPr="002B79BB" w:rsidRDefault="002B79BB" w:rsidP="00D23078">
                  <w:pPr>
                    <w:framePr w:hSpace="141" w:wrap="around" w:vAnchor="text" w:hAnchor="margin" w:y="334"/>
                    <w:spacing w:line="360" w:lineRule="auto"/>
                    <w:jc w:val="center"/>
                    <w:rPr>
                      <w:rFonts w:ascii="Arial" w:eastAsia="Roboto" w:hAnsi="Arial" w:cs="Arial"/>
                      <w:sz w:val="24"/>
                      <w:szCs w:val="24"/>
                    </w:rPr>
                  </w:pPr>
                  <w:r w:rsidRPr="002B79BB">
                    <w:rPr>
                      <w:rFonts w:ascii="Arial" w:eastAsia="Roboto" w:hAnsi="Arial" w:cs="Arial"/>
                      <w:sz w:val="24"/>
                      <w:szCs w:val="24"/>
                    </w:rPr>
                    <w:t>10² máx</w:t>
                  </w:r>
                </w:p>
              </w:tc>
            </w:tr>
            <w:tr w:rsidR="002B79BB" w:rsidRPr="002B79BB" w14:paraId="226782C3" w14:textId="77777777" w:rsidTr="002B79BB">
              <w:tblPrEx>
                <w:tblCellMar>
                  <w:left w:w="70" w:type="dxa"/>
                  <w:right w:w="70" w:type="dxa"/>
                </w:tblCellMar>
                <w:tblLook w:val="0000" w:firstRow="0" w:lastRow="0" w:firstColumn="0" w:lastColumn="0" w:noHBand="0" w:noVBand="0"/>
              </w:tblPrEx>
              <w:trPr>
                <w:trHeight w:val="366"/>
                <w:jc w:val="center"/>
              </w:trPr>
              <w:tc>
                <w:tcPr>
                  <w:tcW w:w="3881" w:type="dxa"/>
                  <w:shd w:val="clear" w:color="auto" w:fill="auto"/>
                </w:tcPr>
                <w:p w14:paraId="43C01FA2" w14:textId="78103692" w:rsidR="002B79BB" w:rsidRPr="002B79BB" w:rsidRDefault="002B79BB" w:rsidP="00D23078">
                  <w:pPr>
                    <w:framePr w:hSpace="141" w:wrap="around" w:vAnchor="text" w:hAnchor="margin" w:y="334"/>
                    <w:spacing w:line="360" w:lineRule="auto"/>
                    <w:jc w:val="center"/>
                    <w:rPr>
                      <w:rFonts w:ascii="Arial" w:eastAsia="Roboto" w:hAnsi="Arial" w:cs="Arial"/>
                      <w:sz w:val="24"/>
                      <w:szCs w:val="24"/>
                    </w:rPr>
                  </w:pPr>
                  <w:r w:rsidRPr="002B79BB">
                    <w:rPr>
                      <w:rFonts w:ascii="Arial" w:eastAsia="Roboto" w:hAnsi="Arial" w:cs="Arial"/>
                      <w:sz w:val="24"/>
                      <w:szCs w:val="24"/>
                    </w:rPr>
                    <w:t>E. Coli</w:t>
                  </w:r>
                </w:p>
              </w:tc>
              <w:tc>
                <w:tcPr>
                  <w:tcW w:w="3881" w:type="dxa"/>
                </w:tcPr>
                <w:p w14:paraId="3C8A583A" w14:textId="210A8709" w:rsidR="002B79BB" w:rsidRPr="002B79BB" w:rsidRDefault="002B79BB" w:rsidP="00D23078">
                  <w:pPr>
                    <w:framePr w:hSpace="141" w:wrap="around" w:vAnchor="text" w:hAnchor="margin" w:y="334"/>
                    <w:spacing w:line="360" w:lineRule="auto"/>
                    <w:jc w:val="center"/>
                    <w:rPr>
                      <w:rFonts w:ascii="Arial" w:eastAsia="Roboto" w:hAnsi="Arial" w:cs="Arial"/>
                      <w:sz w:val="24"/>
                      <w:szCs w:val="24"/>
                    </w:rPr>
                  </w:pPr>
                  <w:r w:rsidRPr="002B79BB">
                    <w:rPr>
                      <w:rFonts w:ascii="Arial" w:eastAsia="Roboto" w:hAnsi="Arial" w:cs="Arial"/>
                      <w:sz w:val="24"/>
                      <w:szCs w:val="24"/>
                    </w:rPr>
                    <w:t>Negativo</w:t>
                  </w:r>
                </w:p>
              </w:tc>
            </w:tr>
            <w:tr w:rsidR="002B79BB" w:rsidRPr="002B79BB" w14:paraId="53D82EE9" w14:textId="77777777" w:rsidTr="002B79BB">
              <w:tblPrEx>
                <w:tblCellMar>
                  <w:left w:w="70" w:type="dxa"/>
                  <w:right w:w="70" w:type="dxa"/>
                </w:tblCellMar>
                <w:tblLook w:val="0000" w:firstRow="0" w:lastRow="0" w:firstColumn="0" w:lastColumn="0" w:noHBand="0" w:noVBand="0"/>
              </w:tblPrEx>
              <w:trPr>
                <w:trHeight w:val="366"/>
                <w:jc w:val="center"/>
              </w:trPr>
              <w:tc>
                <w:tcPr>
                  <w:tcW w:w="3881" w:type="dxa"/>
                  <w:shd w:val="clear" w:color="auto" w:fill="auto"/>
                </w:tcPr>
                <w:p w14:paraId="3C2B26CA" w14:textId="278C922A" w:rsidR="002B79BB" w:rsidRPr="002B79BB" w:rsidRDefault="002B79BB" w:rsidP="00D23078">
                  <w:pPr>
                    <w:framePr w:hSpace="141" w:wrap="around" w:vAnchor="text" w:hAnchor="margin" w:y="334"/>
                    <w:spacing w:line="360" w:lineRule="auto"/>
                    <w:jc w:val="center"/>
                    <w:rPr>
                      <w:rFonts w:ascii="Arial" w:eastAsia="Roboto" w:hAnsi="Arial" w:cs="Arial"/>
                      <w:sz w:val="24"/>
                      <w:szCs w:val="24"/>
                    </w:rPr>
                  </w:pPr>
                  <w:r w:rsidRPr="002B79BB">
                    <w:rPr>
                      <w:rFonts w:ascii="Arial" w:eastAsia="Roboto" w:hAnsi="Arial" w:cs="Arial"/>
                      <w:sz w:val="24"/>
                      <w:szCs w:val="24"/>
                    </w:rPr>
                    <w:t>Salmonela</w:t>
                  </w:r>
                </w:p>
              </w:tc>
              <w:tc>
                <w:tcPr>
                  <w:tcW w:w="3881" w:type="dxa"/>
                </w:tcPr>
                <w:p w14:paraId="5E7BF0F7" w14:textId="56D00FDA" w:rsidR="002B79BB" w:rsidRPr="002B79BB" w:rsidRDefault="002B79BB" w:rsidP="00D23078">
                  <w:pPr>
                    <w:framePr w:hSpace="141" w:wrap="around" w:vAnchor="text" w:hAnchor="margin" w:y="334"/>
                    <w:spacing w:line="360" w:lineRule="auto"/>
                    <w:jc w:val="center"/>
                    <w:rPr>
                      <w:rFonts w:ascii="Arial" w:eastAsia="Roboto" w:hAnsi="Arial" w:cs="Arial"/>
                      <w:sz w:val="24"/>
                      <w:szCs w:val="24"/>
                    </w:rPr>
                  </w:pPr>
                  <w:r w:rsidRPr="002B79BB">
                    <w:rPr>
                      <w:rFonts w:ascii="Arial" w:eastAsia="Roboto" w:hAnsi="Arial" w:cs="Arial"/>
                      <w:sz w:val="24"/>
                      <w:szCs w:val="24"/>
                    </w:rPr>
                    <w:t>Negativo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133A488" w:rsidR="002F19FC" w:rsidRDefault="002F19FC" w:rsidP="002F19FC">
            <w:pPr>
              <w:spacing w:line="360" w:lineRule="auto"/>
              <w:jc w:val="both"/>
              <w:rPr>
                <w:rFonts w:ascii="Arial" w:hAnsi="Arial" w:cs="Arial"/>
                <w:sz w:val="24"/>
                <w:szCs w:val="24"/>
              </w:rPr>
            </w:pPr>
          </w:p>
          <w:p w14:paraId="2BCDCB44"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t>Industria de pinturas y recubrimientos</w:t>
            </w:r>
          </w:p>
          <w:p w14:paraId="10853DC3" w14:textId="234DAF40"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Se emplea como pigmento blanco en pinturas arquitectónicas, recubrimientos industriales y automotrices. Proporciona alta opacidad, blancura y resistencia a la intemperie, mejorando la durabilidad de los productos.</w:t>
            </w:r>
          </w:p>
          <w:p w14:paraId="629F2127" w14:textId="77777777" w:rsidR="002B79BB" w:rsidRPr="002B79BB" w:rsidRDefault="002B79BB" w:rsidP="002B79BB">
            <w:pPr>
              <w:spacing w:line="360" w:lineRule="auto"/>
              <w:jc w:val="both"/>
              <w:rPr>
                <w:rFonts w:ascii="Arial" w:hAnsi="Arial" w:cs="Arial"/>
                <w:sz w:val="24"/>
                <w:szCs w:val="24"/>
              </w:rPr>
            </w:pPr>
          </w:p>
          <w:p w14:paraId="69F25ABE"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t>Industria del papel</w:t>
            </w:r>
          </w:p>
          <w:p w14:paraId="0DC7C1AB" w14:textId="5E8193A9"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 xml:space="preserve"> Se usa como agente blanqueador y opacificante en la producción de papel de alta calidad, aumentando la opacidad y brillo.</w:t>
            </w:r>
          </w:p>
          <w:p w14:paraId="435D7132" w14:textId="77777777" w:rsidR="002B79BB" w:rsidRPr="002B79BB" w:rsidRDefault="002B79BB" w:rsidP="002B79BB">
            <w:pPr>
              <w:spacing w:line="360" w:lineRule="auto"/>
              <w:jc w:val="both"/>
              <w:rPr>
                <w:rFonts w:ascii="Arial" w:hAnsi="Arial" w:cs="Arial"/>
                <w:sz w:val="24"/>
                <w:szCs w:val="24"/>
              </w:rPr>
            </w:pPr>
          </w:p>
          <w:p w14:paraId="2F807577"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t>Industria cosmética</w:t>
            </w:r>
          </w:p>
          <w:p w14:paraId="72CC6E37" w14:textId="70CDAFD0"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Utilizado en protectores solares, bases de maquillaje, polvos faciales y cremas debido a su capacidad de dispersión de la luz, cobertura y protección UV.</w:t>
            </w:r>
          </w:p>
          <w:p w14:paraId="27AD3921" w14:textId="77777777" w:rsidR="002B79BB" w:rsidRPr="002B79BB" w:rsidRDefault="002B79BB" w:rsidP="002B79BB">
            <w:pPr>
              <w:spacing w:line="360" w:lineRule="auto"/>
              <w:jc w:val="both"/>
              <w:rPr>
                <w:rFonts w:ascii="Arial" w:hAnsi="Arial" w:cs="Arial"/>
                <w:sz w:val="24"/>
                <w:szCs w:val="24"/>
              </w:rPr>
            </w:pPr>
          </w:p>
          <w:p w14:paraId="0177E2ED"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t>Industria farmacéutica y alimentaria</w:t>
            </w:r>
          </w:p>
          <w:p w14:paraId="3B757849" w14:textId="6907FA61"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Aprobado como aditivo colorante en medicamentos y alimentos bajo el código E171, utilizado en tabletas, cápsulas y recubrimientos para mejorar la apariencia del producto.</w:t>
            </w:r>
          </w:p>
          <w:p w14:paraId="2494656F" w14:textId="77777777" w:rsidR="002B79BB" w:rsidRPr="002B79BB" w:rsidRDefault="002B79BB" w:rsidP="002B79BB">
            <w:pPr>
              <w:spacing w:line="360" w:lineRule="auto"/>
              <w:jc w:val="both"/>
              <w:rPr>
                <w:rFonts w:ascii="Arial" w:hAnsi="Arial" w:cs="Arial"/>
                <w:sz w:val="24"/>
                <w:szCs w:val="24"/>
              </w:rPr>
            </w:pPr>
          </w:p>
          <w:p w14:paraId="66700797"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lastRenderedPageBreak/>
              <w:t>Industria plástica</w:t>
            </w:r>
          </w:p>
          <w:p w14:paraId="6C040FCA" w14:textId="1991B4F5"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Se incorpora en plásticos y polímeros para mejorar la blancura, resistencia a la luz UV y estabilidad térmica, evitando el deterioro y decoloración de los materiales.</w:t>
            </w:r>
          </w:p>
          <w:p w14:paraId="72DEA89F" w14:textId="77777777" w:rsidR="002B79BB" w:rsidRPr="002B79BB" w:rsidRDefault="002B79BB" w:rsidP="002B79BB">
            <w:pPr>
              <w:spacing w:line="360" w:lineRule="auto"/>
              <w:jc w:val="both"/>
              <w:rPr>
                <w:rFonts w:ascii="Arial" w:hAnsi="Arial" w:cs="Arial"/>
                <w:sz w:val="24"/>
                <w:szCs w:val="24"/>
              </w:rPr>
            </w:pPr>
          </w:p>
          <w:p w14:paraId="438C112F"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t>Industria de tintas</w:t>
            </w:r>
          </w:p>
          <w:p w14:paraId="62F7DFDC" w14:textId="0401E41E"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Empleado en tintas de impresión para mejorar el brillo, opacidad y resistencia a la abrasión, asegurando una mejor calidad de impresión en diferentes sustratos.</w:t>
            </w:r>
          </w:p>
          <w:p w14:paraId="5A53DDC0" w14:textId="77777777" w:rsidR="002B79BB" w:rsidRPr="002B79BB" w:rsidRDefault="002B79BB" w:rsidP="002B79BB">
            <w:pPr>
              <w:spacing w:line="360" w:lineRule="auto"/>
              <w:jc w:val="both"/>
              <w:rPr>
                <w:rFonts w:ascii="Arial" w:hAnsi="Arial" w:cs="Arial"/>
                <w:sz w:val="24"/>
                <w:szCs w:val="24"/>
              </w:rPr>
            </w:pPr>
          </w:p>
          <w:p w14:paraId="245CE523"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t>Fotocatálisis y aplicaciones ambientales</w:t>
            </w:r>
          </w:p>
          <w:p w14:paraId="5E6EFEFE" w14:textId="184F176C"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Gracias a sus propiedades fotocatalíticas, se utiliza en la purificación de aire y agua, en recubrimientos autolimpiantes y en la descomposición de contaminantes orgánicos. También es un material clave en la producción de células solares y catalizadores.</w:t>
            </w:r>
          </w:p>
          <w:p w14:paraId="633933DB" w14:textId="77777777" w:rsidR="002B79BB" w:rsidRPr="002B79BB" w:rsidRDefault="002B79BB" w:rsidP="002B79BB">
            <w:pPr>
              <w:spacing w:line="360" w:lineRule="auto"/>
              <w:jc w:val="both"/>
              <w:rPr>
                <w:rFonts w:ascii="Arial" w:hAnsi="Arial" w:cs="Arial"/>
                <w:sz w:val="24"/>
                <w:szCs w:val="24"/>
              </w:rPr>
            </w:pPr>
          </w:p>
          <w:p w14:paraId="63F821C0" w14:textId="77777777" w:rsidR="002B79BB" w:rsidRPr="002B79BB" w:rsidRDefault="002B79BB" w:rsidP="002B79BB">
            <w:pPr>
              <w:spacing w:line="360" w:lineRule="auto"/>
              <w:jc w:val="both"/>
              <w:rPr>
                <w:rFonts w:ascii="Arial" w:hAnsi="Arial" w:cs="Arial"/>
                <w:b/>
                <w:sz w:val="24"/>
                <w:szCs w:val="24"/>
              </w:rPr>
            </w:pPr>
            <w:r w:rsidRPr="002B79BB">
              <w:rPr>
                <w:rFonts w:ascii="Arial" w:hAnsi="Arial" w:cs="Arial"/>
                <w:b/>
                <w:sz w:val="24"/>
                <w:szCs w:val="24"/>
              </w:rPr>
              <w:t>Industria cerámica y vidriera</w:t>
            </w:r>
          </w:p>
          <w:p w14:paraId="76A46B2C" w14:textId="753BD0D1" w:rsidR="001519DA"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Se emplea en esmaltes y recubrimientos cerámicos para mejorar la opacidad, el brillo y la estabilidad del color en baldosas, vajillas y materiales de construcción.</w:t>
            </w:r>
          </w:p>
          <w:p w14:paraId="46B97B2A" w14:textId="248753BE" w:rsidR="002B79BB" w:rsidRPr="00370BF5" w:rsidRDefault="002B79BB" w:rsidP="002B79B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C46F06A" w14:textId="12C6D2D9"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Evitar la inhalación del polvo, usar mascarilla y guantes.</w:t>
            </w:r>
          </w:p>
          <w:p w14:paraId="0881E35C" w14:textId="6473F3F5"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Manejar en un área con buena ventilación.</w:t>
            </w:r>
          </w:p>
          <w:p w14:paraId="79FBF385" w14:textId="7093781D"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Evitar el contacto prolongado con la piel y los ojos.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184CA7" w14:textId="77777777" w:rsidR="00693976" w:rsidRDefault="00693976" w:rsidP="00FB6E80">
            <w:pPr>
              <w:spacing w:line="360" w:lineRule="auto"/>
              <w:jc w:val="both"/>
              <w:rPr>
                <w:rFonts w:ascii="Arial" w:hAnsi="Arial" w:cs="Arial"/>
                <w:sz w:val="24"/>
                <w:szCs w:val="24"/>
              </w:rPr>
            </w:pPr>
          </w:p>
          <w:p w14:paraId="37F3C15E" w14:textId="4F62EEEC"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Conservar en un lugar seco y fresco, lejos de la humedad.</w:t>
            </w:r>
          </w:p>
          <w:p w14:paraId="1D4E1109" w14:textId="12A9E3CB"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Mantener en envases herméticamente cerrados para evitar la contaminación.</w:t>
            </w:r>
          </w:p>
          <w:p w14:paraId="56F05099" w14:textId="2174A34F" w:rsidR="002B79BB" w:rsidRPr="002B79BB" w:rsidRDefault="002B79BB" w:rsidP="002B79BB">
            <w:pPr>
              <w:spacing w:line="360" w:lineRule="auto"/>
              <w:jc w:val="both"/>
              <w:rPr>
                <w:rFonts w:ascii="Arial" w:hAnsi="Arial" w:cs="Arial"/>
                <w:sz w:val="24"/>
                <w:szCs w:val="24"/>
              </w:rPr>
            </w:pPr>
            <w:r w:rsidRPr="00341894">
              <w:rPr>
                <w:rFonts w:ascii="Segoe UI Emoji" w:hAnsi="Segoe UI Emoji" w:cs="Segoe UI Emoji"/>
                <w:sz w:val="24"/>
                <w:szCs w:val="24"/>
              </w:rPr>
              <w:t>✔</w:t>
            </w:r>
            <w:r w:rsidRPr="002B79BB">
              <w:rPr>
                <w:rFonts w:ascii="Arial" w:hAnsi="Arial" w:cs="Arial"/>
                <w:sz w:val="24"/>
                <w:szCs w:val="24"/>
              </w:rPr>
              <w:t>Proteger de fuentes de calor y luz directa.</w:t>
            </w:r>
          </w:p>
          <w:p w14:paraId="1F2089AD" w14:textId="2B72F2B3" w:rsidR="002B79BB" w:rsidRPr="00370BF5" w:rsidRDefault="002B79B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2307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2307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08CBEA" w:rsidR="00885DA5" w:rsidRPr="00370BF5" w:rsidRDefault="002B79BB" w:rsidP="00D2307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88E053D" w:rsidR="00885DA5" w:rsidRPr="00370BF5" w:rsidRDefault="002B79BB" w:rsidP="00D23078">
                  <w:pPr>
                    <w:framePr w:hSpace="141" w:wrap="around" w:vAnchor="text" w:hAnchor="margin" w:y="334"/>
                    <w:spacing w:line="360" w:lineRule="auto"/>
                    <w:jc w:val="center"/>
                    <w:rPr>
                      <w:rFonts w:ascii="Arial" w:hAnsi="Arial" w:cs="Arial"/>
                      <w:sz w:val="24"/>
                      <w:szCs w:val="24"/>
                    </w:rPr>
                  </w:pPr>
                  <w:r w:rsidRPr="002B79B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CFB08CE" w14:textId="158D749F" w:rsidR="002B79BB" w:rsidRPr="00370BF5" w:rsidRDefault="002B79BB" w:rsidP="009241AE">
            <w:pPr>
              <w:spacing w:after="160" w:line="360" w:lineRule="auto"/>
              <w:jc w:val="both"/>
              <w:rPr>
                <w:rFonts w:ascii="Arial" w:hAnsi="Arial" w:cs="Arial"/>
                <w:sz w:val="24"/>
                <w:szCs w:val="24"/>
              </w:rPr>
            </w:pPr>
            <w:r w:rsidRPr="00DE0A4F">
              <w:rPr>
                <w:rFonts w:ascii="Arial" w:hAnsi="Arial" w:cs="Arial"/>
                <w:sz w:val="24"/>
                <w:szCs w:val="24"/>
              </w:rPr>
              <w:t>El pr</w:t>
            </w:r>
            <w:r>
              <w:rPr>
                <w:rFonts w:ascii="Arial" w:hAnsi="Arial" w:cs="Arial"/>
                <w:sz w:val="24"/>
                <w:szCs w:val="24"/>
              </w:rPr>
              <w:t>oducto tiene una vida útil de 24</w:t>
            </w:r>
            <w:r w:rsidRPr="00DE0A4F">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EBFAA9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B79BB" w:rsidRPr="00370BF5" w:rsidRDefault="002B79B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AA5D" w14:textId="77777777" w:rsidR="00BB34F0" w:rsidRDefault="00BB34F0" w:rsidP="00C93E31">
      <w:pPr>
        <w:spacing w:after="0" w:line="240" w:lineRule="auto"/>
      </w:pPr>
      <w:r>
        <w:separator/>
      </w:r>
    </w:p>
  </w:endnote>
  <w:endnote w:type="continuationSeparator" w:id="0">
    <w:p w14:paraId="75741922" w14:textId="77777777" w:rsidR="00BB34F0" w:rsidRDefault="00BB34F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8545" w14:textId="77777777" w:rsidR="00BB34F0" w:rsidRDefault="00BB34F0" w:rsidP="00C93E31">
      <w:pPr>
        <w:spacing w:after="0" w:line="240" w:lineRule="auto"/>
      </w:pPr>
      <w:r>
        <w:separator/>
      </w:r>
    </w:p>
  </w:footnote>
  <w:footnote w:type="continuationSeparator" w:id="0">
    <w:p w14:paraId="470D0406" w14:textId="77777777" w:rsidR="00BB34F0" w:rsidRDefault="00BB34F0"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01A3"/>
    <w:multiLevelType w:val="multilevel"/>
    <w:tmpl w:val="0DD8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F4143"/>
    <w:multiLevelType w:val="multilevel"/>
    <w:tmpl w:val="F1B2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040790">
    <w:abstractNumId w:val="1"/>
  </w:num>
  <w:num w:numId="2" w16cid:durableId="154063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9BB"/>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A5199"/>
    <w:rsid w:val="006105EB"/>
    <w:rsid w:val="00680FE6"/>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34F0"/>
    <w:rsid w:val="00BB434F"/>
    <w:rsid w:val="00BE1442"/>
    <w:rsid w:val="00BE4C37"/>
    <w:rsid w:val="00C42767"/>
    <w:rsid w:val="00C746BB"/>
    <w:rsid w:val="00C93E31"/>
    <w:rsid w:val="00CC594F"/>
    <w:rsid w:val="00CF5651"/>
    <w:rsid w:val="00D10D31"/>
    <w:rsid w:val="00D23078"/>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534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9377248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2025-03-13T20:21:00Z</dcterms:created>
  <dcterms:modified xsi:type="dcterms:W3CDTF">2025-07-26T16:21:00Z</dcterms:modified>
</cp:coreProperties>
</file>