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44210F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492D71">
                              <w:rPr>
                                <w:rFonts w:ascii="Arial" w:hAnsi="Arial" w:cs="Arial"/>
                                <w:b/>
                                <w:bCs/>
                                <w:color w:val="1F3864" w:themeColor="accent1" w:themeShade="80"/>
                                <w:sz w:val="18"/>
                                <w:szCs w:val="18"/>
                              </w:rPr>
                              <w:t>5</w:t>
                            </w:r>
                            <w:r w:rsidR="00810066">
                              <w:rPr>
                                <w:rFonts w:ascii="Arial" w:hAnsi="Arial" w:cs="Arial"/>
                                <w:b/>
                                <w:bCs/>
                                <w:color w:val="1F3864" w:themeColor="accent1" w:themeShade="80"/>
                                <w:sz w:val="18"/>
                                <w:szCs w:val="18"/>
                              </w:rPr>
                              <w:t>67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44210F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492D71">
                        <w:rPr>
                          <w:rFonts w:ascii="Arial" w:hAnsi="Arial" w:cs="Arial"/>
                          <w:b/>
                          <w:bCs/>
                          <w:color w:val="1F3864" w:themeColor="accent1" w:themeShade="80"/>
                          <w:sz w:val="18"/>
                          <w:szCs w:val="18"/>
                        </w:rPr>
                        <w:t>5</w:t>
                      </w:r>
                      <w:r w:rsidR="00810066">
                        <w:rPr>
                          <w:rFonts w:ascii="Arial" w:hAnsi="Arial" w:cs="Arial"/>
                          <w:b/>
                          <w:bCs/>
                          <w:color w:val="1F3864" w:themeColor="accent1" w:themeShade="80"/>
                          <w:sz w:val="18"/>
                          <w:szCs w:val="18"/>
                        </w:rPr>
                        <w:t>67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E7195C3" w:rsidR="008F552B" w:rsidRDefault="00810066" w:rsidP="009241AE">
      <w:pPr>
        <w:spacing w:line="360" w:lineRule="auto"/>
        <w:jc w:val="center"/>
        <w:rPr>
          <w:rFonts w:ascii="Arial" w:hAnsi="Arial" w:cs="Arial"/>
          <w:b/>
          <w:bCs/>
          <w:color w:val="1F3864" w:themeColor="accent1" w:themeShade="80"/>
          <w:sz w:val="48"/>
          <w:szCs w:val="48"/>
        </w:rPr>
      </w:pPr>
      <w:bookmarkStart w:id="0" w:name="_Hlk170901815"/>
      <w:r w:rsidRPr="00810066">
        <w:rPr>
          <w:rFonts w:ascii="Arial" w:hAnsi="Arial" w:cs="Arial"/>
          <w:b/>
          <w:bCs/>
          <w:color w:val="1F3864" w:themeColor="accent1" w:themeShade="80"/>
          <w:sz w:val="48"/>
          <w:szCs w:val="48"/>
        </w:rPr>
        <w:t>FRAGANCIA VAINILLA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00AA3751" w14:textId="77777777" w:rsidR="00810066" w:rsidRDefault="00810066" w:rsidP="00492D71">
            <w:pPr>
              <w:spacing w:line="360" w:lineRule="auto"/>
              <w:jc w:val="both"/>
              <w:rPr>
                <w:rFonts w:ascii="Arial" w:hAnsi="Arial" w:cs="Arial"/>
                <w:sz w:val="24"/>
                <w:szCs w:val="24"/>
              </w:rPr>
            </w:pPr>
            <w:r w:rsidRPr="00810066">
              <w:rPr>
                <w:rFonts w:ascii="Arial" w:hAnsi="Arial" w:cs="Arial"/>
                <w:sz w:val="24"/>
                <w:szCs w:val="24"/>
              </w:rPr>
              <w:t>Nombre comercial: Fragancia Vainilla (</w:t>
            </w:r>
            <w:proofErr w:type="spellStart"/>
            <w:r w:rsidRPr="00810066">
              <w:rPr>
                <w:rFonts w:ascii="Arial" w:hAnsi="Arial" w:cs="Arial"/>
                <w:sz w:val="24"/>
                <w:szCs w:val="24"/>
              </w:rPr>
              <w:t>Vanilla</w:t>
            </w:r>
            <w:proofErr w:type="spellEnd"/>
            <w:r w:rsidRPr="00810066">
              <w:rPr>
                <w:rFonts w:ascii="Arial" w:hAnsi="Arial" w:cs="Arial"/>
                <w:sz w:val="24"/>
                <w:szCs w:val="24"/>
              </w:rPr>
              <w:t xml:space="preserve"> </w:t>
            </w:r>
            <w:proofErr w:type="spellStart"/>
            <w:r w:rsidRPr="00810066">
              <w:rPr>
                <w:rFonts w:ascii="Arial" w:hAnsi="Arial" w:cs="Arial"/>
                <w:sz w:val="24"/>
                <w:szCs w:val="24"/>
              </w:rPr>
              <w:t>Fragrance</w:t>
            </w:r>
            <w:proofErr w:type="spellEnd"/>
            <w:r w:rsidRPr="00810066">
              <w:rPr>
                <w:rFonts w:ascii="Arial" w:hAnsi="Arial" w:cs="Arial"/>
                <w:sz w:val="24"/>
                <w:szCs w:val="24"/>
              </w:rPr>
              <w:t>)</w:t>
            </w:r>
          </w:p>
          <w:p w14:paraId="585CF48C" w14:textId="4697DC85" w:rsidR="00DE6685" w:rsidRPr="00E6013A" w:rsidRDefault="00810066" w:rsidP="00492D71">
            <w:pPr>
              <w:spacing w:line="360" w:lineRule="auto"/>
              <w:jc w:val="both"/>
              <w:rPr>
                <w:rFonts w:ascii="Arial" w:hAnsi="Arial" w:cs="Arial"/>
                <w:sz w:val="24"/>
                <w:szCs w:val="24"/>
              </w:rPr>
            </w:pPr>
            <w:r w:rsidRPr="00810066">
              <w:rPr>
                <w:rFonts w:ascii="Arial" w:hAnsi="Arial" w:cs="Arial"/>
                <w:sz w:val="24"/>
                <w:szCs w:val="24"/>
              </w:rPr>
              <w:t xml:space="preserve">INCI (composición típica): </w:t>
            </w:r>
            <w:proofErr w:type="spellStart"/>
            <w:r w:rsidRPr="00810066">
              <w:rPr>
                <w:rFonts w:ascii="Arial" w:hAnsi="Arial" w:cs="Arial"/>
                <w:sz w:val="24"/>
                <w:szCs w:val="24"/>
              </w:rPr>
              <w:t>Parfum</w:t>
            </w:r>
            <w:proofErr w:type="spellEnd"/>
            <w:r w:rsidRPr="00810066">
              <w:rPr>
                <w:rFonts w:ascii="Arial" w:hAnsi="Arial" w:cs="Arial"/>
                <w:sz w:val="24"/>
                <w:szCs w:val="24"/>
              </w:rPr>
              <w:t xml:space="preserve"> / </w:t>
            </w:r>
            <w:proofErr w:type="spellStart"/>
            <w:r w:rsidRPr="00810066">
              <w:rPr>
                <w:rFonts w:ascii="Arial" w:hAnsi="Arial" w:cs="Arial"/>
                <w:sz w:val="24"/>
                <w:szCs w:val="24"/>
              </w:rPr>
              <w:t>Fragrance</w:t>
            </w:r>
            <w:proofErr w:type="spellEnd"/>
            <w:r w:rsidRPr="00810066">
              <w:rPr>
                <w:rFonts w:ascii="Arial" w:hAnsi="Arial" w:cs="Arial"/>
                <w:sz w:val="24"/>
                <w:szCs w:val="24"/>
              </w:rPr>
              <w:t xml:space="preserve"> (mezcla de compuestos aromáticos, puede incluir </w:t>
            </w:r>
            <w:proofErr w:type="spellStart"/>
            <w:r w:rsidRPr="00810066">
              <w:rPr>
                <w:rFonts w:ascii="Arial" w:hAnsi="Arial" w:cs="Arial"/>
                <w:sz w:val="24"/>
                <w:szCs w:val="24"/>
              </w:rPr>
              <w:t>vanilina</w:t>
            </w:r>
            <w:proofErr w:type="spellEnd"/>
            <w:r w:rsidRPr="00810066">
              <w:rPr>
                <w:rFonts w:ascii="Arial" w:hAnsi="Arial" w:cs="Arial"/>
                <w:sz w:val="24"/>
                <w:szCs w:val="24"/>
              </w:rPr>
              <w:t xml:space="preserve"> u otros aromatizantes aprobados</w:t>
            </w:r>
            <w:proofErr w:type="gramStart"/>
            <w:r w:rsidRPr="00810066">
              <w:rPr>
                <w:rFonts w:ascii="Arial" w:hAnsi="Arial" w:cs="Arial"/>
                <w:sz w:val="24"/>
                <w:szCs w:val="24"/>
              </w:rPr>
              <w:t>).</w:t>
            </w:r>
            <w:r w:rsidR="00DE6685" w:rsidRPr="00E6013A">
              <w:rPr>
                <w:rFonts w:ascii="Arial" w:hAnsi="Arial" w:cs="Arial"/>
                <w:sz w:val="24"/>
                <w:szCs w:val="24"/>
              </w:rPr>
              <w:t>Identificación</w:t>
            </w:r>
            <w:proofErr w:type="gramEnd"/>
            <w:r w:rsidR="00DE6685" w:rsidRPr="00E6013A">
              <w:rPr>
                <w:rFonts w:ascii="Arial" w:hAnsi="Arial" w:cs="Arial"/>
                <w:sz w:val="24"/>
                <w:szCs w:val="24"/>
              </w:rPr>
              <w:t xml:space="preserve"> de la empresa: QUIMIFOREN S.A.S </w:t>
            </w:r>
          </w:p>
          <w:p w14:paraId="7A4962F4" w14:textId="48290B6B" w:rsidR="00E65F9B" w:rsidRPr="00E6013A" w:rsidRDefault="00E65F9B" w:rsidP="00492D71">
            <w:pPr>
              <w:spacing w:line="360" w:lineRule="auto"/>
              <w:jc w:val="both"/>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876E481" w14:textId="1FFA8D91" w:rsidR="00E6013A" w:rsidRDefault="00810066" w:rsidP="00E22A4E">
            <w:pPr>
              <w:spacing w:line="360" w:lineRule="auto"/>
              <w:jc w:val="both"/>
              <w:rPr>
                <w:rFonts w:ascii="Arial" w:hAnsi="Arial" w:cs="Arial"/>
                <w:sz w:val="24"/>
                <w:szCs w:val="24"/>
              </w:rPr>
            </w:pPr>
            <w:r w:rsidRPr="00810066">
              <w:rPr>
                <w:rFonts w:ascii="Arial" w:hAnsi="Arial" w:cs="Arial"/>
                <w:sz w:val="24"/>
                <w:szCs w:val="24"/>
              </w:rPr>
              <w:t>Fragancia concentrada con aroma dulce, cálido y envolvente que evoca el característico aroma de vainilla natural, ideal para generar experiencias olfativas acogedoras y reconfortantes en diferentes productos</w:t>
            </w:r>
            <w:r>
              <w:rPr>
                <w:rFonts w:ascii="Arial" w:hAnsi="Arial" w:cs="Arial"/>
                <w:sz w:val="24"/>
                <w:szCs w:val="24"/>
              </w:rPr>
              <w:t xml:space="preserve">. </w:t>
            </w:r>
            <w:r w:rsidR="00830C64" w:rsidRPr="00830C64">
              <w:rPr>
                <w:rFonts w:ascii="Arial" w:hAnsi="Arial" w:cs="Arial"/>
                <w:sz w:val="24"/>
                <w:szCs w:val="24"/>
              </w:rPr>
              <w:t>Es ideal para cosméticos, jabones, productos infantiles, velas y ambientadores que buscan un aroma llamativo y lúdico.</w:t>
            </w:r>
          </w:p>
          <w:p w14:paraId="740EF0EB" w14:textId="2DB1DE9A" w:rsidR="00830C64" w:rsidRPr="00286CEA" w:rsidRDefault="00830C64"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81006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81006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810066">
                  <w:pPr>
                    <w:framePr w:hSpace="141" w:wrap="around" w:vAnchor="text" w:hAnchor="margin" w:y="334"/>
                    <w:spacing w:line="276" w:lineRule="auto"/>
                    <w:jc w:val="center"/>
                    <w:rPr>
                      <w:rFonts w:ascii="Arial" w:hAnsi="Arial" w:cs="Arial"/>
                      <w:b/>
                      <w:bCs/>
                      <w:sz w:val="24"/>
                      <w:szCs w:val="24"/>
                    </w:rPr>
                  </w:pPr>
                </w:p>
                <w:p w14:paraId="714BA8EF" w14:textId="20AFE7F3" w:rsidR="00E6013A" w:rsidRDefault="00492D71" w:rsidP="00810066">
                  <w:pPr>
                    <w:framePr w:hSpace="141" w:wrap="around" w:vAnchor="text" w:hAnchor="margin" w:y="334"/>
                    <w:spacing w:line="276" w:lineRule="auto"/>
                    <w:jc w:val="center"/>
                    <w:rPr>
                      <w:rFonts w:ascii="Arial" w:hAnsi="Arial" w:cs="Arial"/>
                      <w:b/>
                      <w:bCs/>
                      <w:sz w:val="24"/>
                      <w:szCs w:val="24"/>
                    </w:rPr>
                  </w:pPr>
                  <w:r w:rsidRPr="00492D71">
                    <w:rPr>
                      <w:rFonts w:ascii="Arial" w:hAnsi="Arial" w:cs="Arial"/>
                      <w:b/>
                      <w:bCs/>
                      <w:sz w:val="24"/>
                      <w:szCs w:val="24"/>
                    </w:rPr>
                    <w:t xml:space="preserve">FRAGANCIA </w:t>
                  </w:r>
                  <w:r w:rsidR="00810066">
                    <w:rPr>
                      <w:rFonts w:ascii="Arial" w:hAnsi="Arial" w:cs="Arial"/>
                      <w:b/>
                      <w:bCs/>
                      <w:sz w:val="24"/>
                      <w:szCs w:val="24"/>
                    </w:rPr>
                    <w:t>VAINILLA</w:t>
                  </w:r>
                </w:p>
                <w:p w14:paraId="06CDA201" w14:textId="60AF130B" w:rsidR="00492D71" w:rsidRPr="001519DA" w:rsidRDefault="00492D71" w:rsidP="0081006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1006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2CBD3D3" w:rsidR="00286CEA" w:rsidRPr="00286CEA" w:rsidRDefault="00810066" w:rsidP="00810066">
                  <w:pPr>
                    <w:framePr w:hSpace="141" w:wrap="around" w:vAnchor="text" w:hAnchor="margin" w:y="334"/>
                    <w:spacing w:line="360" w:lineRule="auto"/>
                    <w:jc w:val="center"/>
                    <w:rPr>
                      <w:rFonts w:ascii="Arial" w:hAnsi="Arial" w:cs="Arial"/>
                      <w:sz w:val="24"/>
                      <w:szCs w:val="24"/>
                    </w:rPr>
                  </w:pPr>
                  <w:r w:rsidRPr="00810066">
                    <w:rPr>
                      <w:rFonts w:ascii="Arial" w:hAnsi="Arial" w:cs="Arial"/>
                      <w:sz w:val="24"/>
                      <w:szCs w:val="24"/>
                    </w:rPr>
                    <w:t>Líquido aromático claro o ligeramente coloreado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1006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9B5D4BD" w:rsidR="00286CEA" w:rsidRPr="00286CEA" w:rsidRDefault="00810066" w:rsidP="00810066">
                  <w:pPr>
                    <w:framePr w:hSpace="141" w:wrap="around" w:vAnchor="text" w:hAnchor="margin" w:y="334"/>
                    <w:spacing w:line="360" w:lineRule="auto"/>
                    <w:jc w:val="center"/>
                    <w:rPr>
                      <w:rFonts w:ascii="Arial" w:hAnsi="Arial" w:cs="Arial"/>
                      <w:sz w:val="24"/>
                      <w:szCs w:val="24"/>
                    </w:rPr>
                  </w:pPr>
                  <w:r w:rsidRPr="00810066">
                    <w:rPr>
                      <w:rFonts w:ascii="Arial" w:hAnsi="Arial" w:cs="Arial"/>
                      <w:sz w:val="24"/>
                      <w:szCs w:val="24"/>
                    </w:rPr>
                    <w:t>Incoloro a amarillo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1006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561A26EE" w:rsidR="00286CEA" w:rsidRPr="00286CEA" w:rsidRDefault="00492D71" w:rsidP="00810066">
                  <w:pPr>
                    <w:framePr w:hSpace="141" w:wrap="around" w:vAnchor="text" w:hAnchor="margin" w:y="334"/>
                    <w:spacing w:line="360" w:lineRule="auto"/>
                    <w:jc w:val="center"/>
                    <w:rPr>
                      <w:rFonts w:ascii="Arial" w:hAnsi="Arial" w:cs="Arial"/>
                      <w:sz w:val="24"/>
                      <w:szCs w:val="24"/>
                    </w:rPr>
                  </w:pPr>
                  <w:r w:rsidRPr="00492D71">
                    <w:rPr>
                      <w:rFonts w:ascii="Arial" w:hAnsi="Arial" w:cs="Arial"/>
                      <w:sz w:val="24"/>
                      <w:szCs w:val="24"/>
                    </w:rPr>
                    <w:t>Fragancia grado cosmético &gt; 95% (mezcla aromática en vehículo base)</w:t>
                  </w:r>
                </w:p>
              </w:tc>
            </w:tr>
            <w:tr w:rsidR="00286CEA" w:rsidRPr="00370BF5" w14:paraId="6066EB74" w14:textId="77777777" w:rsidTr="009B4F27">
              <w:trPr>
                <w:trHeight w:val="17"/>
                <w:jc w:val="center"/>
              </w:trPr>
              <w:tc>
                <w:tcPr>
                  <w:tcW w:w="3160" w:type="dxa"/>
                </w:tcPr>
                <w:p w14:paraId="749BA216" w14:textId="77777777" w:rsidR="00830C64" w:rsidRDefault="00830C64" w:rsidP="00810066">
                  <w:pPr>
                    <w:framePr w:hSpace="141" w:wrap="around" w:vAnchor="text" w:hAnchor="margin" w:y="334"/>
                    <w:spacing w:line="360" w:lineRule="auto"/>
                    <w:jc w:val="center"/>
                    <w:rPr>
                      <w:rFonts w:ascii="Arial" w:hAnsi="Arial" w:cs="Arial"/>
                      <w:sz w:val="24"/>
                      <w:szCs w:val="24"/>
                    </w:rPr>
                  </w:pPr>
                </w:p>
                <w:p w14:paraId="04E678E0" w14:textId="4429046D" w:rsidR="00286CEA" w:rsidRPr="00286CEA" w:rsidRDefault="00286CEA" w:rsidP="0081006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693D675F" w14:textId="77777777" w:rsidR="00492D71" w:rsidRPr="00492D71" w:rsidRDefault="00492D71" w:rsidP="00810066">
                  <w:pPr>
                    <w:framePr w:hSpace="141" w:wrap="around" w:vAnchor="text" w:hAnchor="margin" w:y="334"/>
                    <w:spacing w:line="360" w:lineRule="auto"/>
                    <w:jc w:val="center"/>
                    <w:rPr>
                      <w:rFonts w:ascii="Arial" w:hAnsi="Arial" w:cs="Arial"/>
                      <w:sz w:val="24"/>
                      <w:szCs w:val="24"/>
                    </w:rPr>
                  </w:pPr>
                  <w:r w:rsidRPr="00492D71">
                    <w:rPr>
                      <w:rFonts w:ascii="Arial" w:hAnsi="Arial" w:cs="Arial"/>
                      <w:sz w:val="24"/>
                      <w:szCs w:val="24"/>
                    </w:rPr>
                    <w:t>Insoluble en agua</w:t>
                  </w:r>
                </w:p>
                <w:p w14:paraId="18B7DB5B" w14:textId="73B39607" w:rsidR="00286CEA" w:rsidRPr="00286CEA" w:rsidRDefault="00492D71" w:rsidP="00810066">
                  <w:pPr>
                    <w:framePr w:hSpace="141" w:wrap="around" w:vAnchor="text" w:hAnchor="margin" w:y="334"/>
                    <w:spacing w:line="360" w:lineRule="auto"/>
                    <w:jc w:val="center"/>
                    <w:rPr>
                      <w:rFonts w:ascii="Arial" w:hAnsi="Arial" w:cs="Arial"/>
                      <w:sz w:val="24"/>
                      <w:szCs w:val="24"/>
                    </w:rPr>
                  </w:pPr>
                  <w:r w:rsidRPr="00492D71">
                    <w:rPr>
                      <w:rFonts w:ascii="Arial" w:hAnsi="Arial" w:cs="Arial"/>
                      <w:sz w:val="24"/>
                      <w:szCs w:val="24"/>
                    </w:rPr>
                    <w:t>Miscible en alcoholes, aceites y solventes orgánicos</w:t>
                  </w:r>
                </w:p>
              </w:tc>
            </w:tr>
            <w:bookmarkEnd w:id="1"/>
          </w:tbl>
          <w:p w14:paraId="764CB7E2" w14:textId="77777777" w:rsidR="00E6013A" w:rsidRDefault="00E6013A" w:rsidP="00492D71">
            <w:pPr>
              <w:spacing w:line="360" w:lineRule="auto"/>
              <w:jc w:val="both"/>
              <w:rPr>
                <w:rFonts w:ascii="Arial" w:hAnsi="Arial" w:cs="Arial"/>
                <w:b/>
                <w:bCs/>
                <w:color w:val="1F3864" w:themeColor="accent1" w:themeShade="80"/>
                <w:sz w:val="24"/>
                <w:szCs w:val="24"/>
              </w:rPr>
            </w:pPr>
          </w:p>
          <w:p w14:paraId="2B9E906B" w14:textId="6C0C54C9" w:rsidR="00492D71" w:rsidRPr="00370BF5" w:rsidRDefault="00492D71" w:rsidP="00492D7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664859F" w:rsidR="00D53570" w:rsidRPr="00114558" w:rsidRDefault="00E73DA5"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E73DA5" w14:paraId="169672CA" w14:textId="77777777" w:rsidTr="00182940">
              <w:trPr>
                <w:trHeight w:val="493"/>
              </w:trPr>
              <w:tc>
                <w:tcPr>
                  <w:tcW w:w="7041" w:type="dxa"/>
                </w:tcPr>
                <w:p w14:paraId="76462103" w14:textId="77777777" w:rsidR="00E73DA5" w:rsidRDefault="00E73DA5" w:rsidP="00810066">
                  <w:pPr>
                    <w:framePr w:hSpace="141" w:wrap="around" w:vAnchor="text" w:hAnchor="margin" w:y="334"/>
                    <w:spacing w:line="276" w:lineRule="auto"/>
                    <w:jc w:val="center"/>
                    <w:rPr>
                      <w:rFonts w:ascii="Arial" w:hAnsi="Arial" w:cs="Arial"/>
                      <w:b/>
                      <w:bCs/>
                      <w:sz w:val="24"/>
                      <w:szCs w:val="24"/>
                    </w:rPr>
                  </w:pPr>
                </w:p>
                <w:p w14:paraId="42E48E5E" w14:textId="33665645" w:rsidR="00E73DA5" w:rsidRDefault="00E73DA5" w:rsidP="00810066">
                  <w:pPr>
                    <w:framePr w:hSpace="141" w:wrap="around" w:vAnchor="text" w:hAnchor="margin" w:y="334"/>
                    <w:spacing w:line="276" w:lineRule="auto"/>
                    <w:jc w:val="center"/>
                    <w:rPr>
                      <w:rFonts w:ascii="Arial" w:hAnsi="Arial" w:cs="Arial"/>
                      <w:b/>
                      <w:bCs/>
                      <w:sz w:val="24"/>
                      <w:szCs w:val="24"/>
                    </w:rPr>
                  </w:pPr>
                  <w:r w:rsidRPr="00492D71">
                    <w:rPr>
                      <w:rFonts w:ascii="Arial" w:hAnsi="Arial" w:cs="Arial"/>
                      <w:b/>
                      <w:bCs/>
                      <w:sz w:val="24"/>
                      <w:szCs w:val="24"/>
                    </w:rPr>
                    <w:t xml:space="preserve">FRAGANCIA </w:t>
                  </w:r>
                  <w:r w:rsidR="00810066">
                    <w:rPr>
                      <w:rFonts w:ascii="Arial" w:hAnsi="Arial" w:cs="Arial"/>
                      <w:b/>
                      <w:bCs/>
                      <w:sz w:val="24"/>
                      <w:szCs w:val="24"/>
                    </w:rPr>
                    <w:t>VAINILLA</w:t>
                  </w:r>
                </w:p>
                <w:p w14:paraId="2F742AB0" w14:textId="77777777" w:rsidR="00E73DA5" w:rsidRDefault="00E73DA5" w:rsidP="00810066">
                  <w:pPr>
                    <w:framePr w:hSpace="141" w:wrap="around" w:vAnchor="text" w:hAnchor="margin" w:y="334"/>
                    <w:spacing w:line="276" w:lineRule="auto"/>
                    <w:jc w:val="center"/>
                    <w:rPr>
                      <w:rFonts w:ascii="Arial" w:hAnsi="Arial" w:cs="Arial"/>
                      <w:sz w:val="24"/>
                      <w:szCs w:val="24"/>
                    </w:rPr>
                  </w:pPr>
                </w:p>
              </w:tc>
            </w:tr>
            <w:tr w:rsidR="00E73DA5" w14:paraId="36D5043E" w14:textId="77777777" w:rsidTr="00182940">
              <w:trPr>
                <w:trHeight w:val="512"/>
              </w:trPr>
              <w:tc>
                <w:tcPr>
                  <w:tcW w:w="7041" w:type="dxa"/>
                </w:tcPr>
                <w:p w14:paraId="24BE627C" w14:textId="77777777" w:rsidR="00E73DA5" w:rsidRPr="000E687B" w:rsidRDefault="00E73DA5" w:rsidP="00810066">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E73DA5" w:rsidRPr="000E687B" w14:paraId="05F778E3" w14:textId="77777777" w:rsidTr="00182940">
              <w:trPr>
                <w:trHeight w:val="300"/>
              </w:trPr>
              <w:tc>
                <w:tcPr>
                  <w:tcW w:w="7041" w:type="dxa"/>
                  <w:noWrap/>
                  <w:hideMark/>
                </w:tcPr>
                <w:p w14:paraId="25108628" w14:textId="77777777" w:rsidR="00E73DA5" w:rsidRPr="000E687B" w:rsidRDefault="00E73DA5" w:rsidP="0081006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E73DA5" w:rsidRPr="000E687B" w14:paraId="55BFBC25" w14:textId="77777777" w:rsidTr="00182940">
              <w:trPr>
                <w:trHeight w:val="300"/>
              </w:trPr>
              <w:tc>
                <w:tcPr>
                  <w:tcW w:w="7041" w:type="dxa"/>
                  <w:noWrap/>
                  <w:hideMark/>
                </w:tcPr>
                <w:p w14:paraId="01E55377" w14:textId="77777777" w:rsidR="00E73DA5" w:rsidRPr="000E687B" w:rsidRDefault="00E73DA5" w:rsidP="0081006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E73DA5" w:rsidRPr="000E687B" w14:paraId="50C1E3D7" w14:textId="77777777" w:rsidTr="00182940">
              <w:trPr>
                <w:trHeight w:val="300"/>
              </w:trPr>
              <w:tc>
                <w:tcPr>
                  <w:tcW w:w="7041" w:type="dxa"/>
                  <w:noWrap/>
                  <w:hideMark/>
                </w:tcPr>
                <w:p w14:paraId="37A1AEF6" w14:textId="77777777" w:rsidR="00E73DA5" w:rsidRPr="000E687B" w:rsidRDefault="00E73DA5" w:rsidP="0081006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08FFCFF" w14:textId="65D2B4D5"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Fabricación de cosméticos: jabones, shampoo, geles de baño</w:t>
            </w:r>
          </w:p>
          <w:p w14:paraId="5EE9B7E6" w14:textId="5D6B60C9"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Productos de aseo: limpiadores líquidos, detergentes, suavizantes</w:t>
            </w:r>
          </w:p>
          <w:p w14:paraId="4740D6BC" w14:textId="4E3FCB48"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Aromatización de productos para el hogar</w:t>
            </w:r>
          </w:p>
          <w:p w14:paraId="1D7ABE85" w14:textId="6E9B2B8A"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Velas aromáticas y difusores</w:t>
            </w:r>
          </w:p>
          <w:p w14:paraId="08EBAE17" w14:textId="7C276546"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Productos infantiles de cuidado personal (si cumple normativas IFRA según proveedor)</w:t>
            </w:r>
          </w:p>
          <w:p w14:paraId="3FAE4EB0" w14:textId="77777777" w:rsidR="00492D71" w:rsidRDefault="00492D71" w:rsidP="002F19FC">
            <w:pPr>
              <w:spacing w:line="360" w:lineRule="auto"/>
              <w:jc w:val="both"/>
              <w:rPr>
                <w:rFonts w:ascii="Arial" w:hAnsi="Arial" w:cs="Arial"/>
                <w:sz w:val="24"/>
                <w:szCs w:val="24"/>
              </w:rPr>
            </w:pP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828AC1F" w14:textId="02BE78F9"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Utilizar en áreas ventiladas.</w:t>
            </w:r>
          </w:p>
          <w:p w14:paraId="4B6019D2" w14:textId="1A9BF32E"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Evitar el contacto directo con piel y ojos.</w:t>
            </w:r>
          </w:p>
          <w:p w14:paraId="40CB712B" w14:textId="5CE4E8B2"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Usar guantes y gafas de seguridad.</w:t>
            </w:r>
          </w:p>
          <w:p w14:paraId="57C15D54" w14:textId="4E6E80B0"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No ingerir.</w:t>
            </w:r>
          </w:p>
          <w:p w14:paraId="30265022" w14:textId="7B57F21A"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Mantener alejado de fuentes de ignición (producto inflamable según formulación).</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7ED517F2" w14:textId="5E26F20F"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Conservar en envases bien cerrados, preferiblemente de vidrio ámbar o plástico compatible.</w:t>
            </w:r>
          </w:p>
          <w:p w14:paraId="5004A20A" w14:textId="64A2ED28"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Almacenar en un lugar fresco, seco y ventilado.</w:t>
            </w:r>
          </w:p>
          <w:p w14:paraId="5CC92EAD" w14:textId="6B84746F"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Mantener lejos de luz solar directa y fuentes de calor.</w:t>
            </w:r>
          </w:p>
          <w:p w14:paraId="2D1082E8" w14:textId="62A06B7A"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Temperatura recomendada: 15–25 °C.</w:t>
            </w:r>
          </w:p>
          <w:p w14:paraId="6D7AD2DF" w14:textId="28807EA1"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Mantener fuera del alcance de niños.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1006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1006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E73DA5" w:rsidRPr="00370BF5" w14:paraId="08943D1D" w14:textId="77777777" w:rsidTr="00885DA5">
              <w:trPr>
                <w:trHeight w:val="504"/>
              </w:trPr>
              <w:tc>
                <w:tcPr>
                  <w:tcW w:w="2720" w:type="dxa"/>
                </w:tcPr>
                <w:p w14:paraId="560CF9EB" w14:textId="1F4361D0" w:rsidR="00E73DA5" w:rsidRPr="00370BF5" w:rsidRDefault="00E73DA5" w:rsidP="0081006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770C3403" w:rsidR="00E73DA5" w:rsidRPr="00370BF5" w:rsidRDefault="00E73DA5" w:rsidP="00810066">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502D8B3" w14:textId="77777777" w:rsidR="00E73DA5" w:rsidRPr="00370BF5" w:rsidRDefault="00E73DA5" w:rsidP="00E73DA5">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5D1F9E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92D71" w:rsidRPr="00370BF5" w:rsidRDefault="00492D7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183C" w14:textId="77777777" w:rsidR="0052392D" w:rsidRDefault="0052392D" w:rsidP="00C93E31">
      <w:pPr>
        <w:spacing w:after="0" w:line="240" w:lineRule="auto"/>
      </w:pPr>
      <w:r>
        <w:separator/>
      </w:r>
    </w:p>
  </w:endnote>
  <w:endnote w:type="continuationSeparator" w:id="0">
    <w:p w14:paraId="1407CE66" w14:textId="77777777" w:rsidR="0052392D" w:rsidRDefault="0052392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2AF5" w14:textId="77777777" w:rsidR="0052392D" w:rsidRDefault="0052392D" w:rsidP="00C93E31">
      <w:pPr>
        <w:spacing w:after="0" w:line="240" w:lineRule="auto"/>
      </w:pPr>
      <w:r>
        <w:separator/>
      </w:r>
    </w:p>
  </w:footnote>
  <w:footnote w:type="continuationSeparator" w:id="0">
    <w:p w14:paraId="7A234F9B" w14:textId="77777777" w:rsidR="0052392D" w:rsidRDefault="0052392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2F34E5"/>
    <w:rsid w:val="003331FF"/>
    <w:rsid w:val="00370BF5"/>
    <w:rsid w:val="00383491"/>
    <w:rsid w:val="003851AF"/>
    <w:rsid w:val="003923D3"/>
    <w:rsid w:val="003A5DFD"/>
    <w:rsid w:val="003B0F29"/>
    <w:rsid w:val="0040758E"/>
    <w:rsid w:val="00456623"/>
    <w:rsid w:val="00462405"/>
    <w:rsid w:val="00465F0F"/>
    <w:rsid w:val="00477D6C"/>
    <w:rsid w:val="004822A8"/>
    <w:rsid w:val="00492D71"/>
    <w:rsid w:val="0049398B"/>
    <w:rsid w:val="00502B75"/>
    <w:rsid w:val="005057C0"/>
    <w:rsid w:val="0052392D"/>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10066"/>
    <w:rsid w:val="00830C64"/>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E73DA5"/>
    <w:rsid w:val="00ED5DE7"/>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4</Pages>
  <Words>439</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2025-12-26T15:38:00Z</dcterms:created>
  <dcterms:modified xsi:type="dcterms:W3CDTF">2025-12-26T15:38:00Z</dcterms:modified>
</cp:coreProperties>
</file>