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01D5B550" w:rsidR="00383491" w:rsidRDefault="00841BA6" w:rsidP="009241AE">
      <w:pPr>
        <w:spacing w:line="360" w:lineRule="auto"/>
        <w:ind w:left="-567" w:firstLine="567"/>
      </w:pPr>
      <w:r>
        <w:rPr>
          <w:rFonts w:ascii="Times New Roman" w:hAnsi="Times New Roman" w:cs="Times New Roman"/>
          <w:noProof/>
          <w:sz w:val="24"/>
          <w:szCs w:val="24"/>
          <w:lang w:eastAsia="es-CO"/>
        </w:rPr>
        <mc:AlternateContent>
          <mc:Choice Requires="wps">
            <w:drawing>
              <wp:anchor distT="0" distB="0" distL="114300" distR="114300" simplePos="0" relativeHeight="251661312" behindDoc="0" locked="0" layoutInCell="1" allowOverlap="1" wp14:anchorId="41F1758E" wp14:editId="7E996852">
                <wp:simplePos x="0" y="0"/>
                <wp:positionH relativeFrom="margin">
                  <wp:align>right</wp:align>
                </wp:positionH>
                <wp:positionV relativeFrom="paragraph">
                  <wp:posOffset>-495300</wp:posOffset>
                </wp:positionV>
                <wp:extent cx="4500880" cy="361950"/>
                <wp:effectExtent l="0" t="0" r="0" b="0"/>
                <wp:wrapNone/>
                <wp:docPr id="1451888657"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00880" cy="361950"/>
                        </a:xfrm>
                        <a:prstGeom prst="rect">
                          <a:avLst/>
                        </a:prstGeom>
                        <a:solidFill>
                          <a:srgbClr val="002060"/>
                        </a:solidFill>
                        <a:ln w="6350">
                          <a:noFill/>
                        </a:ln>
                      </wps:spPr>
                      <wps:txbx>
                        <w:txbxContent>
                          <w:p w14:paraId="67379F93" w14:textId="77777777" w:rsidR="00841BA6" w:rsidRDefault="00841BA6" w:rsidP="00841BA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F1758E" id="_x0000_t202" coordsize="21600,21600" o:spt="202" path="m,l,21600r21600,l21600,xe">
                <v:stroke joinstyle="miter"/>
                <v:path gradientshapeok="t" o:connecttype="rect"/>
              </v:shapetype>
              <v:shape id="Cuadro de texto 3" o:spid="_x0000_s1026" type="#_x0000_t202" style="position:absolute;left:0;text-align:left;margin-left:303.2pt;margin-top:-39pt;width:354.4pt;height:28.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y9WOAIAAGYEAAAOAAAAZHJzL2Uyb0RvYy54bWysVE1v2zAMvQ/YfxB0X+ykSZYacYosRYYB&#10;QVsgHXpWZCk2JouapMTOfv0o2flYdxt2kUmRIvkeSc8f2lqRo7CuAp3T4SClRGgORaX3Of3+uv40&#10;o8R5pgumQIucnoSjD4uPH+aNycQISlCFsASDaJc1Jqel9yZLEsdLUTM3ACM0GiXYmnlU7T4pLGsw&#10;eq2SUZpOkwZsYSxw4RzePnZGuojxpRTcP0vphCcqp1ibj6eN5y6cyWLOsr1lpqx4Xwb7hypqVmlM&#10;egn1yDwjB1v9FaquuAUH0g841AlIWXERMSCaYfoOzbZkRkQsSI4zF5rc/wvLn45b82KJb79Aiw2M&#10;IJzZAP/hkJukMS7rfQKnLnPoHYC20tbhixAIPkRuTxc+ResJx8vxJE1nMzRxtN1Nh/eTSHhyfW2s&#10;818F1CQIObXYr1gBO26cD/lZdnYJyRyoqlhXSkXF7ncrZcmRhd6mo3R6jv6Hm9Kkyen0DnOHVxrC&#10;+y600j3CDlSA59tdi8Yg7qA4ITMWuqFxhq8rrHLDnH9hFqcEgeHk+2c8pAJMwlVlKCnB/np/F/yw&#10;aWihpMFpy6n7eWBWUKK+aWzn/XA8xnA+KuPJ5xEq9tayu7XoQ70CBD3E3TI8isHfq7MoLdRvuBjL&#10;kBVNTHPMnVN/Fle+2wFcLC6Wy+iEA2mY3+it4edBCNy/tm/Mmr5BHlv7BOe5ZNm7PnW+Hc3LgwdZ&#10;xSZe2ez5xmGOve0XL2zLrR69rr+HxW8AAAD//wMAUEsDBBQABgAIAAAAIQDoH/Tx3gAAAAgBAAAP&#10;AAAAZHJzL2Rvd25yZXYueG1sTI9BT8MwDIXvSPyHyEjctqRDsKg0nRCIA+ICLRLiljamrdY4pcm2&#10;8u8xJ7jZfk/P3yt2ix/FEec4BDKQrRUIpDa4gToDb/XjSoOIyZKzYyA08I0RduX5WWFzF070iscq&#10;dYJDKObWQJ/SlEsZ2x69jeswIbH2GWZvE69zJ91sTxzuR7lR6kZ6OxB/6O2E9z22++rgDVxd64+n&#10;fay/hr591y/Zw3NdxcaYy4vl7hZEwiX9meEXn9GhZKYmHMhFMRrgIsnAaqt5YHmrNDdp+LLJFMiy&#10;kP8LlD8AAAD//wMAUEsBAi0AFAAGAAgAAAAhALaDOJL+AAAA4QEAABMAAAAAAAAAAAAAAAAAAAAA&#10;AFtDb250ZW50X1R5cGVzXS54bWxQSwECLQAUAAYACAAAACEAOP0h/9YAAACUAQAACwAAAAAAAAAA&#10;AAAAAAAvAQAAX3JlbHMvLnJlbHNQSwECLQAUAAYACAAAACEAtiMvVjgCAABmBAAADgAAAAAAAAAA&#10;AAAAAAAuAgAAZHJzL2Uyb0RvYy54bWxQSwECLQAUAAYACAAAACEA6B/08d4AAAAIAQAADwAAAAAA&#10;AAAAAAAAAACSBAAAZHJzL2Rvd25yZXYueG1sUEsFBgAAAAAEAAQA8wAAAJ0FAAAAAA==&#10;" fillcolor="#002060" stroked="f" strokeweight=".5pt">
                <v:textbox>
                  <w:txbxContent>
                    <w:p w14:paraId="67379F93" w14:textId="77777777" w:rsidR="00841BA6" w:rsidRDefault="00841BA6" w:rsidP="00841BA6">
                      <w:pPr>
                        <w:jc w:val="center"/>
                        <w:rPr>
                          <w:rFonts w:ascii="Arial" w:hAnsi="Arial" w:cs="Arial"/>
                          <w:color w:val="FFFFFF" w:themeColor="background1"/>
                          <w:sz w:val="36"/>
                          <w:szCs w:val="36"/>
                          <w:lang w:val="es-MX"/>
                        </w:rPr>
                      </w:pPr>
                      <w:r>
                        <w:rPr>
                          <w:rFonts w:ascii="Arial" w:hAnsi="Arial" w:cs="Arial"/>
                          <w:color w:val="FFFFFF" w:themeColor="background1"/>
                          <w:sz w:val="36"/>
                          <w:szCs w:val="36"/>
                          <w:lang w:val="es-MX"/>
                        </w:rPr>
                        <w:t>CARACTERÍSTICAS DEL PRODUCTO</w:t>
                      </w:r>
                    </w:p>
                  </w:txbxContent>
                </v:textbox>
                <w10:wrap anchorx="margin"/>
              </v:shape>
            </w:pict>
          </mc:Fallback>
        </mc:AlternateContent>
      </w:r>
      <w:r w:rsidR="004822A8">
        <w:rPr>
          <w:noProof/>
          <w:lang w:eastAsia="es-CO"/>
        </w:rPr>
        <mc:AlternateContent>
          <mc:Choice Requires="wps">
            <w:drawing>
              <wp:anchor distT="0" distB="0" distL="114300" distR="114300" simplePos="0" relativeHeight="251659264" behindDoc="0" locked="0" layoutInCell="1" allowOverlap="1" wp14:anchorId="61C51F5D" wp14:editId="18E64463">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C22C036" w:rsidR="00BF2484" w:rsidRPr="00DE6685" w:rsidRDefault="00BF24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F-FT-59</w:t>
                            </w:r>
                          </w:p>
                          <w:p w14:paraId="6B61DFBB" w14:textId="3A918C4C" w:rsidR="00BF2484" w:rsidRPr="00DE6685" w:rsidRDefault="00BF2484"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1C51F5D" id="Cuadro de texto 2" o:spid="_x0000_s1027"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b2OwIAAHUEAAAOAAAAZHJzL2Uyb0RvYy54bWysVE2P2yAQvVfqf0DcG8feJN1acVZpVqkq&#10;RbsrZas9EwyxVcxQILG3v74Ddj667anqhQzM88B7bybzu65R5Cisq0EXNB2NKRGaQ1nrfUG/Pa8/&#10;3FLiPNMlU6BFQV+Fo3eL9+/mrclFBhWoUliCRbTLW1PQynuTJ4njlWiYG4ERGpMSbMM8bu0+KS1r&#10;sXqjkmw8niUt2NJY4MI5PL3vk3QR60spuH+U0glPVEHxbT6uNq67sCaLOcv3lpmq5sMz2D+8omG1&#10;xkvPpe6ZZ+Rg6z9KNTW34ED6EYcmASlrLiIHZJOO37DZVsyIyAXFceYsk/t/ZfnDcWueLPHdZ+jQ&#10;wEjCmQ3w7w61SVrj8gETNHW5Q3Qg2knbhF+kQPBD1Pb1rKfoPOF4mGWz2yzDFMdcmt5gPA2KJ5fP&#10;jXX+i4CGhKCgFg2LT2DHjfM99AQJtzlQdbmulYqb0CRipSw5MrRX+XQo/htKadIWdHYzHcfCGsLn&#10;fWWlB4Y9qUDPd7uO1GVQAjHhZAflKwpkoe8dZ/i6xrdumPNPzGKzID8cAP+Ii1SAd8EQUVKB/fm3&#10;84BHDzFLSYvNV1D348CsoER91ejup3QyCd0aN5Ppx6Chvc7srjP60KwABUhx1AyPYcB7dQqlheYF&#10;52QZbsUU0xzvLqg/hSvfjwTOGRfLZQRhfxrmN3pr+KkvghPP3QuzZrDLo9MPcGpTlr9xrccGqzQs&#10;Dx5kHS29qDrIj70dm2KYwzA81/uIuvxbLH4BAAD//wMAUEsDBBQABgAIAAAAIQB82maY4AAAAAoB&#10;AAAPAAAAZHJzL2Rvd25yZXYueG1sTI/LTsQwDEX3SPxDZCQ2aCZ9iKFTmo4Q4iGxY8pD7DKNaSsa&#10;p2oybfl7zAp2x/LV9XGxW2wvJhx950hBvI5AINXOdNQoeKnuVxkIHzQZ3TtCBd/oYVeenhQ6N26m&#10;Z5z2oRFcQj7XCtoQhlxKX7dotV+7AYl3n260OvA4NtKMeuZy28skijbS6o74QqsHvG2x/tofrYKP&#10;i+b9yS8Pr3N6mQ53j1N19WYqpc7PlptrEAGX8BeGX31Wh5KdDu5IxotewSrdxBxlyLYMnEiTmOGg&#10;INsmIMtC/n+h/AEAAP//AwBQSwECLQAUAAYACAAAACEAtoM4kv4AAADhAQAAEwAAAAAAAAAAAAAA&#10;AAAAAAAAW0NvbnRlbnRfVHlwZXNdLnhtbFBLAQItABQABgAIAAAAIQA4/SH/1gAAAJQBAAALAAAA&#10;AAAAAAAAAAAAAC8BAABfcmVscy8ucmVsc1BLAQItABQABgAIAAAAIQDsiOb2OwIAAHUEAAAOAAAA&#10;AAAAAAAAAAAAAC4CAABkcnMvZTJvRG9jLnhtbFBLAQItABQABgAIAAAAIQB82maY4AAAAAoBAAAP&#10;AAAAAAAAAAAAAAAAAJUEAABkcnMvZG93bnJldi54bWxQSwUGAAAAAAQABADzAAAAogUAAAAA&#10;" fillcolor="white [3201]" stroked="f" strokeweight=".5pt">
                <v:textbox>
                  <w:txbxContent>
                    <w:p w14:paraId="186044E0" w14:textId="6C22C036" w:rsidR="00BF2484" w:rsidRPr="00DE6685" w:rsidRDefault="00BF2484" w:rsidP="00383491">
                      <w:pPr>
                        <w:rPr>
                          <w:rFonts w:ascii="Arial" w:hAnsi="Arial" w:cs="Arial"/>
                          <w:b/>
                          <w:bCs/>
                          <w:color w:val="1F3864" w:themeColor="accent1" w:themeShade="80"/>
                          <w:sz w:val="18"/>
                          <w:szCs w:val="18"/>
                        </w:rPr>
                      </w:pPr>
                      <w:r>
                        <w:rPr>
                          <w:rFonts w:ascii="Arial" w:hAnsi="Arial" w:cs="Arial"/>
                          <w:b/>
                          <w:bCs/>
                          <w:color w:val="1F3864" w:themeColor="accent1" w:themeShade="80"/>
                          <w:sz w:val="18"/>
                          <w:szCs w:val="18"/>
                        </w:rPr>
                        <w:t>CÓDIGO: F-FT-59</w:t>
                      </w:r>
                    </w:p>
                    <w:p w14:paraId="6B61DFBB" w14:textId="3A918C4C" w:rsidR="00BF2484" w:rsidRPr="00DE6685" w:rsidRDefault="00BF2484"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Pr>
                          <w:rFonts w:ascii="Arial" w:hAnsi="Arial" w:cs="Arial"/>
                          <w:b/>
                          <w:bCs/>
                          <w:color w:val="1F3864" w:themeColor="accent1" w:themeShade="80"/>
                          <w:sz w:val="18"/>
                          <w:szCs w:val="18"/>
                        </w:rPr>
                        <w:t xml:space="preserve"> 1</w:t>
                      </w:r>
                    </w:p>
                  </w:txbxContent>
                </v:textbox>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3F1EC446" w:rsidR="008F552B" w:rsidRDefault="00BF2484" w:rsidP="009241AE">
      <w:pPr>
        <w:spacing w:line="360" w:lineRule="auto"/>
        <w:jc w:val="center"/>
        <w:rPr>
          <w:rFonts w:ascii="Arial" w:hAnsi="Arial" w:cs="Arial"/>
          <w:b/>
          <w:bCs/>
          <w:color w:val="1F3864" w:themeColor="accent1" w:themeShade="80"/>
          <w:sz w:val="48"/>
          <w:szCs w:val="48"/>
        </w:rPr>
      </w:pPr>
      <w:bookmarkStart w:id="0" w:name="_Hlk170901815"/>
      <w:r w:rsidRPr="00BF2484">
        <w:rPr>
          <w:rFonts w:ascii="Arial" w:hAnsi="Arial" w:cs="Arial"/>
          <w:b/>
          <w:bCs/>
          <w:color w:val="1F3864" w:themeColor="accent1" w:themeShade="80"/>
          <w:sz w:val="48"/>
          <w:szCs w:val="48"/>
        </w:rPr>
        <w:t>TALCO USP</w:t>
      </w:r>
      <w:r w:rsidR="00FB6E80">
        <w:rPr>
          <w:rFonts w:ascii="Arial" w:hAnsi="Arial" w:cs="Arial"/>
          <w:b/>
          <w:bCs/>
          <w:color w:val="1F3864" w:themeColor="accent1" w:themeShade="80"/>
          <w:sz w:val="48"/>
          <w:szCs w:val="48"/>
        </w:rPr>
        <w:t xml:space="preserve"> </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48732277" w:rsidR="00DE6685" w:rsidRPr="00D45217" w:rsidRDefault="00DE6685" w:rsidP="009241AE">
            <w:pPr>
              <w:spacing w:line="360" w:lineRule="auto"/>
              <w:jc w:val="both"/>
              <w:rPr>
                <w:rFonts w:ascii="Arial" w:hAnsi="Arial" w:cs="Arial"/>
                <w:sz w:val="24"/>
                <w:szCs w:val="24"/>
              </w:rPr>
            </w:pPr>
            <w:r w:rsidRPr="00D45217">
              <w:rPr>
                <w:rFonts w:ascii="Arial" w:hAnsi="Arial" w:cs="Arial"/>
                <w:sz w:val="24"/>
                <w:szCs w:val="24"/>
              </w:rPr>
              <w:t xml:space="preserve">Nombre </w:t>
            </w:r>
            <w:r w:rsidR="00D45217" w:rsidRPr="00D45217">
              <w:rPr>
                <w:rFonts w:ascii="Arial" w:hAnsi="Arial" w:cs="Arial"/>
                <w:sz w:val="24"/>
                <w:szCs w:val="24"/>
              </w:rPr>
              <w:t>químico: TALCO</w:t>
            </w:r>
            <w:r w:rsidR="00BF2484" w:rsidRPr="00D45217">
              <w:rPr>
                <w:rFonts w:ascii="Arial" w:hAnsi="Arial" w:cs="Arial"/>
                <w:sz w:val="24"/>
                <w:szCs w:val="24"/>
              </w:rPr>
              <w:t xml:space="preserve"> USP</w:t>
            </w:r>
          </w:p>
          <w:p w14:paraId="207EC96B" w14:textId="2B7FCE1E" w:rsidR="00DE6685" w:rsidRPr="00D45217" w:rsidRDefault="00DE6685" w:rsidP="009241AE">
            <w:pPr>
              <w:spacing w:line="360" w:lineRule="auto"/>
              <w:jc w:val="both"/>
              <w:rPr>
                <w:rFonts w:ascii="Arial" w:hAnsi="Arial" w:cs="Arial"/>
                <w:sz w:val="24"/>
                <w:szCs w:val="24"/>
              </w:rPr>
            </w:pPr>
            <w:r w:rsidRPr="00D45217">
              <w:rPr>
                <w:rFonts w:ascii="Arial" w:hAnsi="Arial" w:cs="Arial"/>
                <w:sz w:val="24"/>
                <w:szCs w:val="24"/>
              </w:rPr>
              <w:t>Sinónimos:</w:t>
            </w:r>
            <w:r w:rsidR="00A21D43" w:rsidRPr="00D45217">
              <w:rPr>
                <w:rFonts w:ascii="Arial" w:hAnsi="Arial" w:cs="Arial"/>
                <w:sz w:val="24"/>
                <w:szCs w:val="24"/>
              </w:rPr>
              <w:t xml:space="preserve"> </w:t>
            </w:r>
            <w:r w:rsidR="00154574" w:rsidRPr="00D45217">
              <w:rPr>
                <w:rFonts w:ascii="Arial" w:hAnsi="Arial" w:cs="Arial"/>
                <w:sz w:val="24"/>
                <w:szCs w:val="24"/>
              </w:rPr>
              <w:t xml:space="preserve"> Esteatita, E-553b, CI 77718</w:t>
            </w:r>
            <w:r w:rsidR="00D45217" w:rsidRPr="00D45217">
              <w:rPr>
                <w:rFonts w:ascii="Arial" w:hAnsi="Arial" w:cs="Arial"/>
                <w:sz w:val="24"/>
                <w:szCs w:val="24"/>
              </w:rPr>
              <w:t xml:space="preserve">,  </w:t>
            </w:r>
            <w:r w:rsidR="00255946">
              <w:rPr>
                <w:rFonts w:ascii="Arial" w:hAnsi="Arial" w:cs="Arial"/>
                <w:sz w:val="24"/>
                <w:szCs w:val="24"/>
              </w:rPr>
              <w:t>T</w:t>
            </w:r>
            <w:r w:rsidR="00D45217" w:rsidRPr="00D45217">
              <w:rPr>
                <w:rFonts w:ascii="Arial" w:hAnsi="Arial" w:cs="Arial"/>
                <w:sz w:val="24"/>
                <w:szCs w:val="24"/>
              </w:rPr>
              <w:t>alco farmacéutico</w:t>
            </w:r>
          </w:p>
          <w:p w14:paraId="3F394E59" w14:textId="7BDAD2A2" w:rsidR="002B7F9D" w:rsidRPr="00D45217" w:rsidRDefault="00DE6685" w:rsidP="00E375E2">
            <w:pPr>
              <w:spacing w:line="360" w:lineRule="auto"/>
              <w:jc w:val="both"/>
              <w:rPr>
                <w:rFonts w:ascii="Arial" w:hAnsi="Arial" w:cs="Arial"/>
                <w:sz w:val="24"/>
                <w:szCs w:val="24"/>
              </w:rPr>
            </w:pPr>
            <w:r w:rsidRPr="00D45217">
              <w:rPr>
                <w:rFonts w:ascii="Arial" w:hAnsi="Arial" w:cs="Arial"/>
                <w:sz w:val="24"/>
                <w:szCs w:val="24"/>
              </w:rPr>
              <w:t>Formula Química:</w:t>
            </w:r>
            <w:r w:rsidR="00B57A4D" w:rsidRPr="00D45217">
              <w:rPr>
                <w:rFonts w:ascii="Arial" w:hAnsi="Arial" w:cs="Arial"/>
                <w:sz w:val="24"/>
                <w:szCs w:val="24"/>
              </w:rPr>
              <w:t xml:space="preserve"> </w:t>
            </w:r>
            <w:r w:rsidR="00D45217" w:rsidRPr="00D45217">
              <w:rPr>
                <w:rFonts w:ascii="Arial" w:eastAsia="Times New Roman" w:hAnsi="Arial" w:cs="Arial"/>
                <w:color w:val="202124"/>
                <w:sz w:val="24"/>
                <w:szCs w:val="24"/>
                <w:lang w:eastAsia="es-CO"/>
              </w:rPr>
              <w:t>Mg</w:t>
            </w:r>
            <w:r w:rsidR="00D45217" w:rsidRPr="00D45217">
              <w:rPr>
                <w:rFonts w:ascii="Arial" w:eastAsia="Times New Roman" w:hAnsi="Arial" w:cs="Arial"/>
                <w:color w:val="202124"/>
                <w:sz w:val="24"/>
                <w:szCs w:val="24"/>
                <w:vertAlign w:val="subscript"/>
                <w:lang w:eastAsia="es-CO"/>
              </w:rPr>
              <w:t>3</w:t>
            </w:r>
            <w:r w:rsidR="00D45217" w:rsidRPr="00D45217">
              <w:rPr>
                <w:rFonts w:ascii="Arial" w:eastAsia="Times New Roman" w:hAnsi="Arial" w:cs="Arial"/>
                <w:color w:val="202124"/>
                <w:sz w:val="24"/>
                <w:szCs w:val="24"/>
                <w:lang w:eastAsia="es-CO"/>
              </w:rPr>
              <w:t>Si</w:t>
            </w:r>
            <w:r w:rsidR="00D45217" w:rsidRPr="00D45217">
              <w:rPr>
                <w:rFonts w:ascii="Arial" w:eastAsia="Times New Roman" w:hAnsi="Arial" w:cs="Arial"/>
                <w:color w:val="202124"/>
                <w:sz w:val="24"/>
                <w:szCs w:val="24"/>
                <w:vertAlign w:val="subscript"/>
                <w:lang w:eastAsia="es-CO"/>
              </w:rPr>
              <w:t>4</w:t>
            </w:r>
            <w:r w:rsidR="00D45217" w:rsidRPr="00D45217">
              <w:rPr>
                <w:rFonts w:ascii="Arial" w:eastAsia="Times New Roman" w:hAnsi="Arial" w:cs="Arial"/>
                <w:color w:val="202124"/>
                <w:sz w:val="24"/>
                <w:szCs w:val="24"/>
                <w:lang w:eastAsia="es-CO"/>
              </w:rPr>
              <w:t>O</w:t>
            </w:r>
            <w:r w:rsidR="00D45217" w:rsidRPr="00D45217">
              <w:rPr>
                <w:rFonts w:ascii="Arial" w:eastAsia="Times New Roman" w:hAnsi="Arial" w:cs="Arial"/>
                <w:color w:val="202124"/>
                <w:sz w:val="24"/>
                <w:szCs w:val="24"/>
                <w:vertAlign w:val="subscript"/>
                <w:lang w:eastAsia="es-CO"/>
              </w:rPr>
              <w:t>10</w:t>
            </w:r>
            <w:r w:rsidR="00D45217" w:rsidRPr="00D45217">
              <w:rPr>
                <w:rFonts w:ascii="Arial" w:hAnsi="Arial" w:cs="Arial"/>
                <w:sz w:val="24"/>
                <w:szCs w:val="24"/>
              </w:rPr>
              <w:t>(OH)</w:t>
            </w:r>
            <w:r w:rsidR="00D45217" w:rsidRPr="00D45217">
              <w:rPr>
                <w:rFonts w:ascii="Arial" w:eastAsia="Times New Roman" w:hAnsi="Arial" w:cs="Arial"/>
                <w:color w:val="202124"/>
                <w:sz w:val="24"/>
                <w:szCs w:val="24"/>
                <w:vertAlign w:val="subscript"/>
                <w:lang w:eastAsia="es-CO"/>
              </w:rPr>
              <w:t>2</w:t>
            </w:r>
            <w:r w:rsidR="00D45217" w:rsidRPr="00D45217">
              <w:rPr>
                <w:rFonts w:ascii="Arial" w:hAnsi="Arial" w:cs="Arial"/>
                <w:sz w:val="24"/>
                <w:szCs w:val="24"/>
              </w:rPr>
              <w:t xml:space="preserve">     </w:t>
            </w:r>
          </w:p>
          <w:p w14:paraId="79785DB3" w14:textId="3C0A6387" w:rsidR="00E375E2" w:rsidRPr="00D45217" w:rsidRDefault="00E375E2" w:rsidP="00E375E2">
            <w:pPr>
              <w:spacing w:line="360" w:lineRule="auto"/>
              <w:jc w:val="both"/>
              <w:rPr>
                <w:rFonts w:ascii="Arial" w:hAnsi="Arial" w:cs="Arial"/>
                <w:sz w:val="24"/>
                <w:szCs w:val="24"/>
              </w:rPr>
            </w:pPr>
            <w:r w:rsidRPr="00D45217">
              <w:rPr>
                <w:rFonts w:ascii="Arial" w:hAnsi="Arial" w:cs="Arial"/>
                <w:sz w:val="24"/>
                <w:szCs w:val="24"/>
              </w:rPr>
              <w:t>CAS</w:t>
            </w:r>
            <w:r w:rsidR="00FB6E80" w:rsidRPr="00D45217">
              <w:rPr>
                <w:rFonts w:ascii="Arial" w:hAnsi="Arial" w:cs="Arial"/>
                <w:sz w:val="24"/>
                <w:szCs w:val="24"/>
              </w:rPr>
              <w:t>:</w:t>
            </w:r>
            <w:r w:rsidR="00D45217" w:rsidRPr="00D45217">
              <w:rPr>
                <w:rFonts w:ascii="Arial" w:hAnsi="Arial" w:cs="Arial"/>
                <w:sz w:val="24"/>
                <w:szCs w:val="24"/>
              </w:rPr>
              <w:t xml:space="preserve"> 14807-96-6</w:t>
            </w:r>
          </w:p>
          <w:p w14:paraId="30E0FB5F" w14:textId="22F5C821" w:rsidR="00A21D43" w:rsidRPr="00D45217" w:rsidRDefault="00D45217" w:rsidP="009241AE">
            <w:pPr>
              <w:spacing w:line="360" w:lineRule="auto"/>
              <w:jc w:val="both"/>
              <w:rPr>
                <w:rFonts w:ascii="Arial" w:hAnsi="Arial" w:cs="Arial"/>
                <w:sz w:val="24"/>
                <w:szCs w:val="24"/>
              </w:rPr>
            </w:pPr>
            <w:r w:rsidRPr="00D45217">
              <w:rPr>
                <w:rFonts w:ascii="Arial" w:hAnsi="Arial" w:cs="Arial"/>
                <w:sz w:val="24"/>
                <w:szCs w:val="24"/>
              </w:rPr>
              <w:t>Peso molecular 379,3</w:t>
            </w:r>
          </w:p>
          <w:p w14:paraId="585CF48C" w14:textId="77777777" w:rsidR="00DE6685" w:rsidRPr="00D45217" w:rsidRDefault="00DE6685" w:rsidP="009241AE">
            <w:pPr>
              <w:spacing w:line="360" w:lineRule="auto"/>
              <w:jc w:val="both"/>
              <w:rPr>
                <w:rFonts w:ascii="Arial" w:hAnsi="Arial" w:cs="Arial"/>
                <w:sz w:val="24"/>
                <w:szCs w:val="24"/>
              </w:rPr>
            </w:pPr>
            <w:r w:rsidRPr="00D45217">
              <w:rPr>
                <w:rFonts w:ascii="Arial" w:hAnsi="Arial" w:cs="Arial"/>
                <w:sz w:val="24"/>
                <w:szCs w:val="24"/>
              </w:rPr>
              <w:t xml:space="preserve">Identificación de la empresa: QUIMIFOREN S.A.S </w:t>
            </w:r>
          </w:p>
          <w:p w14:paraId="4A0B4C1D" w14:textId="013BC617" w:rsidR="00D45217" w:rsidRPr="00D45217" w:rsidRDefault="00D45217" w:rsidP="009241AE">
            <w:pPr>
              <w:spacing w:line="360" w:lineRule="auto"/>
              <w:jc w:val="both"/>
              <w:rPr>
                <w:rFonts w:ascii="Arial" w:hAnsi="Arial" w:cs="Arial"/>
                <w:sz w:val="24"/>
                <w:szCs w:val="24"/>
              </w:rPr>
            </w:pPr>
            <w:r w:rsidRPr="00D45217">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0E02F98A" w14:textId="77777777" w:rsidR="00D45217" w:rsidRDefault="00D45217" w:rsidP="00114558">
            <w:pPr>
              <w:spacing w:line="360" w:lineRule="auto"/>
              <w:jc w:val="both"/>
              <w:rPr>
                <w:rFonts w:ascii="Arial" w:hAnsi="Arial" w:cs="Arial"/>
                <w:sz w:val="24"/>
                <w:szCs w:val="24"/>
              </w:rPr>
            </w:pPr>
          </w:p>
          <w:p w14:paraId="797262E4" w14:textId="753BB105" w:rsidR="00114558" w:rsidRPr="00114558" w:rsidRDefault="00D45217" w:rsidP="00114558">
            <w:pPr>
              <w:spacing w:line="360" w:lineRule="auto"/>
              <w:jc w:val="both"/>
              <w:rPr>
                <w:rFonts w:ascii="Arial" w:hAnsi="Arial" w:cs="Arial"/>
                <w:sz w:val="24"/>
                <w:szCs w:val="24"/>
              </w:rPr>
            </w:pPr>
            <w:r>
              <w:rPr>
                <w:rFonts w:ascii="Arial" w:hAnsi="Arial" w:cs="Arial"/>
                <w:sz w:val="24"/>
                <w:szCs w:val="24"/>
              </w:rPr>
              <w:t xml:space="preserve">El talco </w:t>
            </w:r>
            <w:r w:rsidRPr="00D45217">
              <w:rPr>
                <w:rFonts w:ascii="Arial" w:hAnsi="Arial" w:cs="Arial"/>
                <w:sz w:val="24"/>
                <w:szCs w:val="24"/>
              </w:rPr>
              <w:t>es una forma de polvo blanco de silicato de magnesio. Algunas aplicaciones de este producto incluyen pinturas, plásticos, caucho, productos farmacéuticos, cosméticos y productos agrícolas.</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BF2484">
              <w:trPr>
                <w:trHeight w:val="17"/>
                <w:jc w:val="center"/>
              </w:trPr>
              <w:tc>
                <w:tcPr>
                  <w:tcW w:w="3160" w:type="dxa"/>
                </w:tcPr>
                <w:p w14:paraId="3071A2F9" w14:textId="77777777" w:rsidR="002C7E20" w:rsidRPr="002C7E20" w:rsidRDefault="002C7E20" w:rsidP="00841BA6">
                  <w:pPr>
                    <w:framePr w:hSpace="141" w:wrap="around" w:vAnchor="text" w:hAnchor="margin" w:y="334"/>
                    <w:spacing w:line="276" w:lineRule="auto"/>
                    <w:jc w:val="center"/>
                    <w:rPr>
                      <w:rFonts w:ascii="Arial" w:hAnsi="Arial" w:cs="Arial"/>
                      <w:b/>
                      <w:bCs/>
                      <w:sz w:val="24"/>
                      <w:szCs w:val="24"/>
                    </w:rPr>
                  </w:pPr>
                  <w:bookmarkStart w:id="1" w:name="_Hlk170982758"/>
                </w:p>
                <w:p w14:paraId="1285E7FA" w14:textId="77777777" w:rsidR="00286CEA" w:rsidRPr="002C7E20" w:rsidRDefault="00286CEA" w:rsidP="00841BA6">
                  <w:pPr>
                    <w:framePr w:hSpace="141" w:wrap="around" w:vAnchor="text" w:hAnchor="margin" w:y="334"/>
                    <w:spacing w:line="276" w:lineRule="auto"/>
                    <w:jc w:val="center"/>
                    <w:rPr>
                      <w:rFonts w:ascii="Arial" w:hAnsi="Arial" w:cs="Arial"/>
                      <w:b/>
                      <w:bCs/>
                      <w:sz w:val="24"/>
                      <w:szCs w:val="24"/>
                    </w:rPr>
                  </w:pPr>
                  <w:r w:rsidRPr="002C7E20">
                    <w:rPr>
                      <w:rFonts w:ascii="Arial" w:hAnsi="Arial" w:cs="Arial"/>
                      <w:b/>
                      <w:bCs/>
                      <w:sz w:val="24"/>
                      <w:szCs w:val="24"/>
                    </w:rPr>
                    <w:t>REFERENCIA</w:t>
                  </w:r>
                </w:p>
                <w:p w14:paraId="516E12A2" w14:textId="77777777" w:rsidR="002C7E20" w:rsidRPr="002C7E20" w:rsidRDefault="002C7E20" w:rsidP="00841BA6">
                  <w:pPr>
                    <w:framePr w:hSpace="141" w:wrap="around" w:vAnchor="text" w:hAnchor="margin" w:y="334"/>
                    <w:spacing w:line="276" w:lineRule="auto"/>
                    <w:jc w:val="center"/>
                    <w:rPr>
                      <w:rFonts w:ascii="Arial" w:hAnsi="Arial" w:cs="Arial"/>
                      <w:b/>
                      <w:bCs/>
                      <w:sz w:val="24"/>
                      <w:szCs w:val="24"/>
                    </w:rPr>
                  </w:pPr>
                </w:p>
              </w:tc>
              <w:tc>
                <w:tcPr>
                  <w:tcW w:w="3160" w:type="dxa"/>
                </w:tcPr>
                <w:p w14:paraId="36211A2B" w14:textId="77777777" w:rsidR="002C7E20" w:rsidRPr="002C7E20" w:rsidRDefault="002C7E20" w:rsidP="00841BA6">
                  <w:pPr>
                    <w:framePr w:hSpace="141" w:wrap="around" w:vAnchor="text" w:hAnchor="margin" w:y="334"/>
                    <w:spacing w:line="276" w:lineRule="auto"/>
                    <w:jc w:val="center"/>
                    <w:rPr>
                      <w:rFonts w:ascii="Arial" w:hAnsi="Arial" w:cs="Arial"/>
                      <w:b/>
                      <w:bCs/>
                      <w:sz w:val="24"/>
                      <w:szCs w:val="24"/>
                    </w:rPr>
                  </w:pPr>
                </w:p>
                <w:p w14:paraId="06CDA201" w14:textId="726EE24E" w:rsidR="00286CEA" w:rsidRPr="002C7E20" w:rsidRDefault="00D45217" w:rsidP="00841BA6">
                  <w:pPr>
                    <w:framePr w:hSpace="141" w:wrap="around" w:vAnchor="text" w:hAnchor="margin" w:y="334"/>
                    <w:spacing w:line="276" w:lineRule="auto"/>
                    <w:jc w:val="center"/>
                    <w:rPr>
                      <w:rFonts w:ascii="Arial" w:hAnsi="Arial" w:cs="Arial"/>
                      <w:b/>
                      <w:bCs/>
                      <w:sz w:val="24"/>
                      <w:szCs w:val="24"/>
                    </w:rPr>
                  </w:pPr>
                  <w:r w:rsidRPr="002C7E20">
                    <w:rPr>
                      <w:rFonts w:ascii="Arial" w:hAnsi="Arial" w:cs="Arial"/>
                      <w:b/>
                      <w:bCs/>
                      <w:sz w:val="24"/>
                      <w:szCs w:val="24"/>
                    </w:rPr>
                    <w:t>TALCO USP</w:t>
                  </w:r>
                </w:p>
              </w:tc>
            </w:tr>
            <w:tr w:rsidR="00286CEA" w:rsidRPr="00370BF5" w14:paraId="33A84966" w14:textId="77777777" w:rsidTr="00BF2484">
              <w:trPr>
                <w:trHeight w:val="17"/>
                <w:jc w:val="center"/>
              </w:trPr>
              <w:tc>
                <w:tcPr>
                  <w:tcW w:w="3160" w:type="dxa"/>
                </w:tcPr>
                <w:p w14:paraId="5B7B4387" w14:textId="77777777" w:rsidR="00286CEA" w:rsidRPr="002C7E20" w:rsidRDefault="00286CEA"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Aspecto</w:t>
                  </w:r>
                </w:p>
              </w:tc>
              <w:tc>
                <w:tcPr>
                  <w:tcW w:w="3160" w:type="dxa"/>
                </w:tcPr>
                <w:p w14:paraId="22DA818A" w14:textId="22FF7E64" w:rsidR="00286CEA" w:rsidRPr="002C7E20" w:rsidRDefault="00D45217"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Polvo ligero homogéneo</w:t>
                  </w:r>
                </w:p>
              </w:tc>
            </w:tr>
            <w:tr w:rsidR="00286CEA" w:rsidRPr="00370BF5" w14:paraId="0EE171D9" w14:textId="77777777" w:rsidTr="00BF2484">
              <w:trPr>
                <w:trHeight w:val="17"/>
                <w:jc w:val="center"/>
              </w:trPr>
              <w:tc>
                <w:tcPr>
                  <w:tcW w:w="3160" w:type="dxa"/>
                </w:tcPr>
                <w:p w14:paraId="5A14A5B8" w14:textId="77777777" w:rsidR="00286CEA" w:rsidRPr="002C7E20" w:rsidRDefault="00286CEA"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Color</w:t>
                  </w:r>
                </w:p>
              </w:tc>
              <w:tc>
                <w:tcPr>
                  <w:tcW w:w="3160" w:type="dxa"/>
                </w:tcPr>
                <w:p w14:paraId="6526719D" w14:textId="1D937B95" w:rsidR="00286CEA" w:rsidRPr="002C7E20" w:rsidRDefault="00D45217"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blanco o casi blanco</w:t>
                  </w:r>
                </w:p>
              </w:tc>
            </w:tr>
            <w:tr w:rsidR="00286CEA" w:rsidRPr="00370BF5" w14:paraId="7CD7FBDE" w14:textId="77777777" w:rsidTr="00BF2484">
              <w:trPr>
                <w:trHeight w:val="17"/>
                <w:jc w:val="center"/>
              </w:trPr>
              <w:tc>
                <w:tcPr>
                  <w:tcW w:w="3160" w:type="dxa"/>
                </w:tcPr>
                <w:p w14:paraId="79D95530" w14:textId="4E2483D3" w:rsidR="00286CEA" w:rsidRPr="002C7E20" w:rsidRDefault="002C7E20"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U</w:t>
                  </w:r>
                  <w:r w:rsidR="00D45217" w:rsidRPr="002C7E20">
                    <w:rPr>
                      <w:rFonts w:ascii="Arial" w:hAnsi="Arial" w:cs="Arial"/>
                      <w:sz w:val="24"/>
                      <w:szCs w:val="24"/>
                    </w:rPr>
                    <w:t xml:space="preserve">ntuoso </w:t>
                  </w:r>
                </w:p>
              </w:tc>
              <w:tc>
                <w:tcPr>
                  <w:tcW w:w="3160" w:type="dxa"/>
                </w:tcPr>
                <w:p w14:paraId="21A61DF5" w14:textId="1C165614" w:rsidR="00286CEA" w:rsidRPr="002C7E20" w:rsidRDefault="00D45217"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al tacto</w:t>
                  </w:r>
                </w:p>
              </w:tc>
            </w:tr>
            <w:tr w:rsidR="00286CEA" w:rsidRPr="00370BF5" w14:paraId="6066EB74" w14:textId="77777777" w:rsidTr="00BF2484">
              <w:trPr>
                <w:trHeight w:val="17"/>
                <w:jc w:val="center"/>
              </w:trPr>
              <w:tc>
                <w:tcPr>
                  <w:tcW w:w="3160" w:type="dxa"/>
                </w:tcPr>
                <w:p w14:paraId="04E678E0" w14:textId="137043D3" w:rsidR="00286CEA" w:rsidRPr="002C7E20" w:rsidRDefault="002C7E20"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Insoluble</w:t>
                  </w:r>
                </w:p>
              </w:tc>
              <w:tc>
                <w:tcPr>
                  <w:tcW w:w="3160" w:type="dxa"/>
                </w:tcPr>
                <w:p w14:paraId="18B7DB5B" w14:textId="748017F6" w:rsidR="00286CEA" w:rsidRPr="002C7E20" w:rsidRDefault="002C7E20" w:rsidP="00841BA6">
                  <w:pPr>
                    <w:framePr w:hSpace="141" w:wrap="around" w:vAnchor="text" w:hAnchor="margin" w:y="334"/>
                    <w:spacing w:line="276" w:lineRule="auto"/>
                    <w:jc w:val="center"/>
                    <w:rPr>
                      <w:rFonts w:ascii="Arial" w:hAnsi="Arial" w:cs="Arial"/>
                      <w:sz w:val="24"/>
                      <w:szCs w:val="24"/>
                    </w:rPr>
                  </w:pPr>
                  <w:r w:rsidRPr="002C7E20">
                    <w:rPr>
                      <w:rFonts w:ascii="Arial" w:hAnsi="Arial" w:cs="Arial"/>
                      <w:sz w:val="24"/>
                      <w:szCs w:val="24"/>
                    </w:rPr>
                    <w:t xml:space="preserve">En agua, alcohol y disoluciones diluidas de </w:t>
                  </w:r>
                  <w:r w:rsidRPr="002C7E20">
                    <w:rPr>
                      <w:rFonts w:ascii="Arial" w:hAnsi="Arial" w:cs="Arial"/>
                      <w:sz w:val="24"/>
                      <w:szCs w:val="24"/>
                    </w:rPr>
                    <w:lastRenderedPageBreak/>
                    <w:t>ácidos y de hidróxidos alcalinos.</w:t>
                  </w:r>
                </w:p>
              </w:tc>
            </w:tr>
            <w:bookmarkEnd w:id="1"/>
          </w:tbl>
          <w:p w14:paraId="54E6AC6D"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2C7E20" w:rsidRPr="00370BF5" w:rsidRDefault="002C7E20"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665E08">
              <w:trPr>
                <w:trHeight w:val="258"/>
                <w:jc w:val="center"/>
              </w:trPr>
              <w:tc>
                <w:tcPr>
                  <w:tcW w:w="3278" w:type="dxa"/>
                </w:tcPr>
                <w:p w14:paraId="5FE3F56F" w14:textId="77777777" w:rsidR="002C7E20" w:rsidRPr="00F61275" w:rsidRDefault="002C7E20" w:rsidP="00841BA6">
                  <w:pPr>
                    <w:framePr w:hSpace="141" w:wrap="around" w:vAnchor="text" w:hAnchor="margin" w:y="334"/>
                    <w:jc w:val="center"/>
                    <w:rPr>
                      <w:rFonts w:ascii="Arial" w:hAnsi="Arial" w:cs="Arial"/>
                      <w:b/>
                      <w:bCs/>
                      <w:sz w:val="24"/>
                      <w:szCs w:val="24"/>
                    </w:rPr>
                  </w:pPr>
                  <w:bookmarkStart w:id="2" w:name="_Hlk170982771"/>
                </w:p>
                <w:p w14:paraId="23CEE0D0" w14:textId="5E5ADF2A" w:rsidR="002B482E" w:rsidRPr="00F61275" w:rsidRDefault="00FC4C5C" w:rsidP="00841BA6">
                  <w:pPr>
                    <w:framePr w:hSpace="141" w:wrap="around" w:vAnchor="text" w:hAnchor="margin" w:y="334"/>
                    <w:jc w:val="center"/>
                    <w:rPr>
                      <w:rFonts w:ascii="Arial" w:hAnsi="Arial" w:cs="Arial"/>
                      <w:b/>
                      <w:bCs/>
                      <w:sz w:val="24"/>
                      <w:szCs w:val="24"/>
                    </w:rPr>
                  </w:pPr>
                  <w:r w:rsidRPr="00F61275">
                    <w:rPr>
                      <w:rFonts w:ascii="Arial" w:hAnsi="Arial" w:cs="Arial"/>
                      <w:b/>
                      <w:bCs/>
                      <w:sz w:val="24"/>
                      <w:szCs w:val="24"/>
                    </w:rPr>
                    <w:t>REFERENCIA</w:t>
                  </w:r>
                </w:p>
              </w:tc>
              <w:tc>
                <w:tcPr>
                  <w:tcW w:w="3278" w:type="dxa"/>
                </w:tcPr>
                <w:p w14:paraId="6D2FDAA6" w14:textId="77777777" w:rsidR="002C7E20" w:rsidRPr="00F61275" w:rsidRDefault="002C7E20" w:rsidP="00841BA6">
                  <w:pPr>
                    <w:framePr w:hSpace="141" w:wrap="around" w:vAnchor="text" w:hAnchor="margin" w:y="334"/>
                    <w:jc w:val="center"/>
                    <w:rPr>
                      <w:rFonts w:ascii="Arial" w:hAnsi="Arial" w:cs="Arial"/>
                      <w:b/>
                      <w:bCs/>
                      <w:sz w:val="24"/>
                      <w:szCs w:val="24"/>
                    </w:rPr>
                  </w:pPr>
                </w:p>
                <w:p w14:paraId="274DC29D" w14:textId="77777777" w:rsidR="002B482E" w:rsidRPr="00F61275" w:rsidRDefault="002C7E20" w:rsidP="00841BA6">
                  <w:pPr>
                    <w:framePr w:hSpace="141" w:wrap="around" w:vAnchor="text" w:hAnchor="margin" w:y="334"/>
                    <w:jc w:val="center"/>
                    <w:rPr>
                      <w:rFonts w:ascii="Arial" w:hAnsi="Arial" w:cs="Arial"/>
                      <w:b/>
                      <w:bCs/>
                      <w:sz w:val="24"/>
                      <w:szCs w:val="24"/>
                    </w:rPr>
                  </w:pPr>
                  <w:r w:rsidRPr="00F61275">
                    <w:rPr>
                      <w:rFonts w:ascii="Arial" w:hAnsi="Arial" w:cs="Arial"/>
                      <w:b/>
                      <w:bCs/>
                      <w:sz w:val="24"/>
                      <w:szCs w:val="24"/>
                    </w:rPr>
                    <w:t>TALCO USP</w:t>
                  </w:r>
                </w:p>
                <w:p w14:paraId="52935837" w14:textId="1A757672" w:rsidR="002C7E20" w:rsidRPr="00F61275" w:rsidRDefault="002C7E20" w:rsidP="00841BA6">
                  <w:pPr>
                    <w:framePr w:hSpace="141" w:wrap="around" w:vAnchor="text" w:hAnchor="margin" w:y="334"/>
                    <w:jc w:val="center"/>
                    <w:rPr>
                      <w:rFonts w:ascii="Arial" w:hAnsi="Arial" w:cs="Arial"/>
                      <w:b/>
                      <w:bCs/>
                      <w:sz w:val="24"/>
                      <w:szCs w:val="24"/>
                    </w:rPr>
                  </w:pPr>
                </w:p>
              </w:tc>
            </w:tr>
            <w:bookmarkEnd w:id="2"/>
            <w:tr w:rsidR="00665E08" w:rsidRPr="00370BF5" w14:paraId="6E29448F" w14:textId="77777777" w:rsidTr="00665E08">
              <w:trPr>
                <w:trHeight w:val="382"/>
                <w:jc w:val="center"/>
              </w:trPr>
              <w:tc>
                <w:tcPr>
                  <w:tcW w:w="3278" w:type="dxa"/>
                </w:tcPr>
                <w:p w14:paraId="57DC68FD" w14:textId="01EE6D03" w:rsidR="00665E08" w:rsidRPr="00F61275" w:rsidRDefault="00665E08" w:rsidP="00841BA6">
                  <w:pPr>
                    <w:framePr w:hSpace="141" w:wrap="around" w:vAnchor="text" w:hAnchor="margin" w:y="334"/>
                    <w:jc w:val="center"/>
                    <w:rPr>
                      <w:rFonts w:ascii="Arial" w:hAnsi="Arial" w:cs="Arial"/>
                      <w:sz w:val="24"/>
                      <w:szCs w:val="24"/>
                    </w:rPr>
                  </w:pPr>
                  <w:r w:rsidRPr="00F61275">
                    <w:rPr>
                      <w:rFonts w:ascii="Arial" w:hAnsi="Arial" w:cs="Arial"/>
                      <w:sz w:val="24"/>
                      <w:szCs w:val="24"/>
                    </w:rPr>
                    <w:t>Malla</w:t>
                  </w:r>
                </w:p>
              </w:tc>
              <w:tc>
                <w:tcPr>
                  <w:tcW w:w="3278" w:type="dxa"/>
                  <w:tcBorders>
                    <w:top w:val="single" w:sz="2" w:space="0" w:color="000000"/>
                    <w:left w:val="single" w:sz="2" w:space="0" w:color="000000"/>
                    <w:bottom w:val="single" w:sz="2" w:space="0" w:color="000000"/>
                    <w:right w:val="single" w:sz="2" w:space="0" w:color="000000"/>
                  </w:tcBorders>
                  <w:vAlign w:val="center"/>
                </w:tcPr>
                <w:p w14:paraId="65399B28" w14:textId="3FD096CE" w:rsidR="00665E08" w:rsidRPr="00F61275" w:rsidRDefault="00665E08"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1250</w:t>
                  </w:r>
                </w:p>
              </w:tc>
            </w:tr>
            <w:tr w:rsidR="00F61275" w:rsidRPr="00370BF5" w14:paraId="6D230715" w14:textId="77777777" w:rsidTr="00665E08">
              <w:trPr>
                <w:trHeight w:val="501"/>
                <w:jc w:val="center"/>
              </w:trPr>
              <w:tc>
                <w:tcPr>
                  <w:tcW w:w="3278" w:type="dxa"/>
                </w:tcPr>
                <w:p w14:paraId="5B863812" w14:textId="77777777"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Blancura (R457) % ≥</w:t>
                  </w:r>
                </w:p>
                <w:p w14:paraId="22A0C6DE" w14:textId="77777777"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0CF9FB1C" w14:textId="40363148"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95</w:t>
                  </w:r>
                </w:p>
              </w:tc>
            </w:tr>
            <w:tr w:rsidR="00F61275" w:rsidRPr="00370BF5" w14:paraId="28FE9B1F" w14:textId="77777777" w:rsidTr="00665E08">
              <w:trPr>
                <w:trHeight w:val="516"/>
                <w:jc w:val="center"/>
              </w:trPr>
              <w:tc>
                <w:tcPr>
                  <w:tcW w:w="3278" w:type="dxa"/>
                </w:tcPr>
                <w:p w14:paraId="0D97F833" w14:textId="77777777"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Absorción de aceite Ml/100 G ≤</w:t>
                  </w:r>
                </w:p>
                <w:p w14:paraId="37686249" w14:textId="77777777"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3A8F5D64" w14:textId="7A0D65D4"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35</w:t>
                  </w:r>
                </w:p>
              </w:tc>
            </w:tr>
            <w:tr w:rsidR="00F61275" w:rsidRPr="00370BF5" w14:paraId="2FF12C74" w14:textId="77777777" w:rsidTr="00665E08">
              <w:trPr>
                <w:trHeight w:val="518"/>
                <w:jc w:val="center"/>
              </w:trPr>
              <w:tc>
                <w:tcPr>
                  <w:tcW w:w="3278" w:type="dxa"/>
                </w:tcPr>
                <w:p w14:paraId="7F659CB0" w14:textId="77777777"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Si02 % ​​≥</w:t>
                  </w:r>
                </w:p>
                <w:p w14:paraId="2626D453" w14:textId="11382F06"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7CA3B8B0" w14:textId="6F086B93"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60</w:t>
                  </w:r>
                </w:p>
              </w:tc>
            </w:tr>
            <w:tr w:rsidR="00F61275" w:rsidRPr="00370BF5" w14:paraId="19B2502C" w14:textId="77777777" w:rsidTr="00665E08">
              <w:trPr>
                <w:trHeight w:val="536"/>
                <w:jc w:val="center"/>
              </w:trPr>
              <w:tc>
                <w:tcPr>
                  <w:tcW w:w="3278" w:type="dxa"/>
                </w:tcPr>
                <w:p w14:paraId="1C9833EC" w14:textId="617F7E21"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Mgo %≥</w:t>
                  </w:r>
                </w:p>
                <w:p w14:paraId="74A28E10" w14:textId="3370B067"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41A2B2CE" w14:textId="3113E675"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30</w:t>
                  </w:r>
                </w:p>
              </w:tc>
            </w:tr>
            <w:tr w:rsidR="00F61275" w:rsidRPr="00370BF5" w14:paraId="1AB445E5" w14:textId="77777777" w:rsidTr="00665E08">
              <w:trPr>
                <w:trHeight w:val="536"/>
                <w:jc w:val="center"/>
              </w:trPr>
              <w:tc>
                <w:tcPr>
                  <w:tcW w:w="3278" w:type="dxa"/>
                </w:tcPr>
                <w:p w14:paraId="141A9375" w14:textId="0EEA207F"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pH</w:t>
                  </w:r>
                </w:p>
                <w:p w14:paraId="12B46CED" w14:textId="052C343E" w:rsidR="00F61275" w:rsidRPr="00F61275" w:rsidRDefault="00F61275" w:rsidP="00841BA6">
                  <w:pPr>
                    <w:framePr w:hSpace="141" w:wrap="around" w:vAnchor="text" w:hAnchor="margin" w:y="334"/>
                    <w:tabs>
                      <w:tab w:val="left" w:pos="2034"/>
                    </w:tabs>
                    <w:jc w:val="center"/>
                    <w:rPr>
                      <w:rFonts w:ascii="Arial" w:hAnsi="Arial" w:cs="Arial"/>
                      <w:sz w:val="24"/>
                      <w:szCs w:val="24"/>
                      <w:highlight w:val="yellow"/>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2EC37034" w14:textId="637CDA50" w:rsidR="00F61275" w:rsidRPr="00F61275" w:rsidRDefault="00F61275" w:rsidP="00841BA6">
                  <w:pPr>
                    <w:framePr w:hSpace="141" w:wrap="around" w:vAnchor="text" w:hAnchor="margin" w:y="334"/>
                    <w:jc w:val="center"/>
                    <w:rPr>
                      <w:rFonts w:ascii="Arial" w:hAnsi="Arial" w:cs="Arial"/>
                      <w:sz w:val="24"/>
                      <w:szCs w:val="24"/>
                      <w:highlight w:val="yellow"/>
                    </w:rPr>
                  </w:pPr>
                  <w:r w:rsidRPr="00F61275">
                    <w:rPr>
                      <w:rFonts w:ascii="Arial" w:eastAsia="Calibri" w:hAnsi="Arial" w:cs="Arial"/>
                      <w:sz w:val="24"/>
                      <w:szCs w:val="24"/>
                    </w:rPr>
                    <w:t>8.0-10.0</w:t>
                  </w:r>
                </w:p>
              </w:tc>
            </w:tr>
            <w:tr w:rsidR="00F61275" w:rsidRPr="00370BF5" w14:paraId="4BE3CD46" w14:textId="77777777" w:rsidTr="00665E08">
              <w:trPr>
                <w:trHeight w:val="518"/>
                <w:jc w:val="center"/>
              </w:trPr>
              <w:tc>
                <w:tcPr>
                  <w:tcW w:w="3278" w:type="dxa"/>
                </w:tcPr>
                <w:p w14:paraId="0B4D536A" w14:textId="77777777"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Cao % ≤</w:t>
                  </w:r>
                </w:p>
                <w:p w14:paraId="4FE094B6" w14:textId="0BDCD351"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5F9AACCB" w14:textId="47D017AA"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0.25</w:t>
                  </w:r>
                </w:p>
              </w:tc>
            </w:tr>
            <w:tr w:rsidR="00F61275" w:rsidRPr="00370BF5" w14:paraId="17EB842C" w14:textId="77777777" w:rsidTr="00665E08">
              <w:trPr>
                <w:trHeight w:val="536"/>
                <w:jc w:val="center"/>
              </w:trPr>
              <w:tc>
                <w:tcPr>
                  <w:tcW w:w="3278" w:type="dxa"/>
                </w:tcPr>
                <w:p w14:paraId="784DEE48" w14:textId="77777777"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Fe 203%≤</w:t>
                  </w:r>
                </w:p>
                <w:p w14:paraId="2165D098" w14:textId="31A38505"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4FEED198" w14:textId="15289E1E"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0.06</w:t>
                  </w:r>
                </w:p>
              </w:tc>
            </w:tr>
            <w:tr w:rsidR="00F61275" w:rsidRPr="00370BF5" w14:paraId="0738FD52" w14:textId="77777777" w:rsidTr="00665E08">
              <w:trPr>
                <w:trHeight w:val="518"/>
                <w:jc w:val="center"/>
              </w:trPr>
              <w:tc>
                <w:tcPr>
                  <w:tcW w:w="3278" w:type="dxa"/>
                </w:tcPr>
                <w:p w14:paraId="180E1778" w14:textId="77777777"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Ai203 % ≤</w:t>
                  </w:r>
                </w:p>
                <w:p w14:paraId="718A9015" w14:textId="3C85F558" w:rsidR="00F61275" w:rsidRPr="00F61275" w:rsidRDefault="00F61275" w:rsidP="00841BA6">
                  <w:pPr>
                    <w:framePr w:hSpace="141" w:wrap="around" w:vAnchor="text" w:hAnchor="margin" w:y="334"/>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343C453D" w14:textId="524691B4"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eastAsia="Calibri" w:hAnsi="Arial" w:cs="Arial"/>
                      <w:sz w:val="24"/>
                      <w:szCs w:val="24"/>
                    </w:rPr>
                    <w:t>1.1</w:t>
                  </w:r>
                </w:p>
              </w:tc>
            </w:tr>
            <w:tr w:rsidR="00F61275" w14:paraId="51DC1F62" w14:textId="77777777" w:rsidTr="00665E08">
              <w:tblPrEx>
                <w:tblCellMar>
                  <w:left w:w="70" w:type="dxa"/>
                  <w:right w:w="70" w:type="dxa"/>
                </w:tblCellMar>
                <w:tblLook w:val="0000" w:firstRow="0" w:lastRow="0" w:firstColumn="0" w:lastColumn="0" w:noHBand="0" w:noVBand="0"/>
              </w:tblPrEx>
              <w:trPr>
                <w:trHeight w:val="598"/>
                <w:jc w:val="center"/>
              </w:trPr>
              <w:tc>
                <w:tcPr>
                  <w:tcW w:w="3278" w:type="dxa"/>
                  <w:shd w:val="clear" w:color="auto" w:fill="auto"/>
                </w:tcPr>
                <w:p w14:paraId="31839667" w14:textId="79AAAB2A" w:rsidR="00F61275" w:rsidRPr="00F61275" w:rsidRDefault="00F61275" w:rsidP="00841BA6">
                  <w:pPr>
                    <w:framePr w:hSpace="141" w:wrap="around" w:vAnchor="text" w:hAnchor="margin" w:y="334"/>
                    <w:jc w:val="center"/>
                    <w:rPr>
                      <w:rFonts w:ascii="Arial" w:hAnsi="Arial" w:cs="Arial"/>
                      <w:sz w:val="24"/>
                      <w:szCs w:val="24"/>
                    </w:rPr>
                  </w:pPr>
                  <w:r w:rsidRPr="00F61275">
                    <w:rPr>
                      <w:rFonts w:ascii="Arial" w:hAnsi="Arial" w:cs="Arial"/>
                      <w:sz w:val="24"/>
                      <w:szCs w:val="24"/>
                    </w:rPr>
                    <w:t>Humedad %</w:t>
                  </w:r>
                </w:p>
                <w:p w14:paraId="74489B6D" w14:textId="7A21FBF8" w:rsidR="00F61275" w:rsidRPr="00F61275" w:rsidRDefault="00F61275" w:rsidP="00841BA6">
                  <w:pPr>
                    <w:framePr w:hSpace="141" w:wrap="around" w:vAnchor="text" w:hAnchor="margin" w:y="334"/>
                    <w:spacing w:line="360" w:lineRule="auto"/>
                    <w:jc w:val="center"/>
                    <w:rPr>
                      <w:rFonts w:ascii="Arial" w:hAnsi="Arial" w:cs="Arial"/>
                      <w:sz w:val="24"/>
                      <w:szCs w:val="24"/>
                    </w:rPr>
                  </w:pPr>
                </w:p>
              </w:tc>
              <w:tc>
                <w:tcPr>
                  <w:tcW w:w="3278" w:type="dxa"/>
                  <w:tcBorders>
                    <w:top w:val="single" w:sz="2" w:space="0" w:color="000000"/>
                    <w:left w:val="single" w:sz="2" w:space="0" w:color="000000"/>
                    <w:bottom w:val="single" w:sz="2" w:space="0" w:color="000000"/>
                    <w:right w:val="single" w:sz="2" w:space="0" w:color="000000"/>
                  </w:tcBorders>
                  <w:vAlign w:val="center"/>
                </w:tcPr>
                <w:p w14:paraId="40C49D87" w14:textId="7850980E" w:rsidR="00F61275" w:rsidRPr="00F61275" w:rsidRDefault="00F61275" w:rsidP="00841BA6">
                  <w:pPr>
                    <w:framePr w:hSpace="141" w:wrap="around" w:vAnchor="text" w:hAnchor="margin" w:y="334"/>
                    <w:spacing w:line="360" w:lineRule="auto"/>
                    <w:jc w:val="center"/>
                    <w:rPr>
                      <w:rFonts w:ascii="Arial" w:hAnsi="Arial" w:cs="Arial"/>
                      <w:sz w:val="24"/>
                      <w:szCs w:val="24"/>
                    </w:rPr>
                  </w:pPr>
                  <w:r w:rsidRPr="00F61275">
                    <w:rPr>
                      <w:rFonts w:ascii="Arial" w:eastAsia="Calibri" w:hAnsi="Arial" w:cs="Arial"/>
                      <w:sz w:val="24"/>
                      <w:szCs w:val="24"/>
                    </w:rPr>
                    <w:t>0.3</w:t>
                  </w:r>
                </w:p>
              </w:tc>
            </w:tr>
          </w:tbl>
          <w:p w14:paraId="3FB00BA5" w14:textId="77777777" w:rsidR="00B12D0A" w:rsidRDefault="00B12D0A" w:rsidP="00BE1442">
            <w:pPr>
              <w:spacing w:line="360" w:lineRule="auto"/>
              <w:jc w:val="both"/>
              <w:rPr>
                <w:rFonts w:ascii="Arial" w:hAnsi="Arial" w:cs="Arial"/>
                <w:sz w:val="24"/>
                <w:szCs w:val="24"/>
              </w:rPr>
            </w:pPr>
          </w:p>
          <w:p w14:paraId="3587C321" w14:textId="5FA4724E" w:rsidR="00BE1442" w:rsidRPr="00370BF5" w:rsidRDefault="00BE1442" w:rsidP="00BE1442">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46B97B2A" w14:textId="7815FFB1" w:rsidR="001519DA" w:rsidRPr="00370BF5" w:rsidRDefault="00F61275" w:rsidP="00FB6E80">
            <w:pPr>
              <w:spacing w:line="360" w:lineRule="auto"/>
              <w:jc w:val="both"/>
              <w:rPr>
                <w:rFonts w:ascii="Arial" w:hAnsi="Arial" w:cs="Arial"/>
                <w:sz w:val="24"/>
                <w:szCs w:val="24"/>
              </w:rPr>
            </w:pPr>
            <w:r w:rsidRPr="00F61275">
              <w:rPr>
                <w:rFonts w:ascii="Arial" w:hAnsi="Arial" w:cs="Arial"/>
                <w:sz w:val="24"/>
                <w:szCs w:val="24"/>
              </w:rPr>
              <w:t>Farmacéutico y cosmético</w:t>
            </w:r>
            <w:r>
              <w:rPr>
                <w:rFonts w:ascii="Arial" w:hAnsi="Arial" w:cs="Arial"/>
                <w:sz w:val="24"/>
                <w:szCs w:val="24"/>
              </w:rPr>
              <w:t>.</w:t>
            </w: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02C5A1BA" w:rsidR="00F14D35" w:rsidRPr="00370BF5" w:rsidRDefault="00F61275" w:rsidP="00F61275">
            <w:pPr>
              <w:spacing w:line="360" w:lineRule="auto"/>
              <w:jc w:val="both"/>
              <w:rPr>
                <w:rFonts w:ascii="Arial" w:hAnsi="Arial" w:cs="Arial"/>
                <w:sz w:val="24"/>
                <w:szCs w:val="24"/>
              </w:rPr>
            </w:pPr>
            <w:r>
              <w:rPr>
                <w:rFonts w:ascii="Arial" w:eastAsia="Arial" w:hAnsi="Arial" w:cs="Arial"/>
                <w:b/>
                <w:color w:val="1F3864" w:themeColor="accent1" w:themeShade="80"/>
                <w:sz w:val="24"/>
                <w:szCs w:val="24"/>
              </w:rPr>
              <w:t>INDICACIONES</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50A7223F" w14:textId="7728E2A6"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lastRenderedPageBreak/>
              <w:t xml:space="preserve">Presenta efectos lubrificantes y desecantes, usándose como </w:t>
            </w:r>
            <w:r>
              <w:rPr>
                <w:rFonts w:ascii="Arial" w:hAnsi="Arial" w:cs="Arial"/>
                <w:sz w:val="24"/>
                <w:szCs w:val="24"/>
              </w:rPr>
              <w:t xml:space="preserve">polvos absorbentes para aliviar </w:t>
            </w:r>
            <w:r w:rsidRPr="00F61275">
              <w:rPr>
                <w:rFonts w:ascii="Arial" w:hAnsi="Arial" w:cs="Arial"/>
                <w:sz w:val="24"/>
                <w:szCs w:val="24"/>
              </w:rPr>
              <w:t>irritaciones y prevenir rozaduras.</w:t>
            </w:r>
          </w:p>
          <w:p w14:paraId="36D9B5F6" w14:textId="77777777"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Se emplea como protector cutáneo con la ventaja de poder ser perfectamente esterilizado por el calor.</w:t>
            </w:r>
          </w:p>
          <w:p w14:paraId="5926677F" w14:textId="77777777"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Cuando se emplea como polvo absorbente, polvos limpiadores o para espolvorear, debe esterilizarse</w:t>
            </w:r>
          </w:p>
          <w:p w14:paraId="315D57C4" w14:textId="77777777"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previamente (por exposición a óxido de etileno o por calentamiento a una temperatura no inferior a 160</w:t>
            </w:r>
          </w:p>
          <w:p w14:paraId="520C1F6B" w14:textId="2F034BBE"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ºC durante un período suficiente que asegure que la totalida</w:t>
            </w:r>
            <w:r>
              <w:rPr>
                <w:rFonts w:ascii="Arial" w:hAnsi="Arial" w:cs="Arial"/>
                <w:sz w:val="24"/>
                <w:szCs w:val="24"/>
              </w:rPr>
              <w:t xml:space="preserve">d del polvo se mantiene a dicha </w:t>
            </w:r>
            <w:r w:rsidRPr="00F61275">
              <w:rPr>
                <w:rFonts w:ascii="Arial" w:hAnsi="Arial" w:cs="Arial"/>
                <w:sz w:val="24"/>
                <w:szCs w:val="24"/>
              </w:rPr>
              <w:t>temperatura durante 1 hora).</w:t>
            </w:r>
          </w:p>
          <w:p w14:paraId="1AB572FB" w14:textId="3C8662DD"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Se usa como lubricante y diluyente en la fabrica</w:t>
            </w:r>
            <w:r>
              <w:rPr>
                <w:rFonts w:ascii="Arial" w:hAnsi="Arial" w:cs="Arial"/>
                <w:sz w:val="24"/>
                <w:szCs w:val="24"/>
              </w:rPr>
              <w:t xml:space="preserve">ción de comprimidos y cápsulas. </w:t>
            </w:r>
            <w:r w:rsidRPr="00F61275">
              <w:rPr>
                <w:rFonts w:ascii="Arial" w:hAnsi="Arial" w:cs="Arial"/>
                <w:sz w:val="24"/>
                <w:szCs w:val="24"/>
              </w:rPr>
              <w:t>Además, se usa para clarificar líquidos, sin peligro de que absorba o</w:t>
            </w:r>
            <w:r>
              <w:rPr>
                <w:rFonts w:ascii="Arial" w:hAnsi="Arial" w:cs="Arial"/>
                <w:sz w:val="24"/>
                <w:szCs w:val="24"/>
              </w:rPr>
              <w:t xml:space="preserve"> retenga los principios activos </w:t>
            </w:r>
            <w:r w:rsidRPr="00F61275">
              <w:rPr>
                <w:rFonts w:ascii="Arial" w:hAnsi="Arial" w:cs="Arial"/>
                <w:sz w:val="24"/>
                <w:szCs w:val="24"/>
              </w:rPr>
              <w:t>disueltos.</w:t>
            </w:r>
          </w:p>
          <w:p w14:paraId="3E08C2E7" w14:textId="77777777"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También se utiliza en preparados para maquillaje de la cara, ojos o piernas, aunque normalmente debe</w:t>
            </w:r>
          </w:p>
          <w:p w14:paraId="0A8B81A5" w14:textId="09A8E80E" w:rsidR="0049398B" w:rsidRDefault="00F61275" w:rsidP="00F61275">
            <w:pPr>
              <w:spacing w:line="360" w:lineRule="auto"/>
              <w:jc w:val="both"/>
              <w:rPr>
                <w:rFonts w:ascii="Arial" w:hAnsi="Arial" w:cs="Arial"/>
                <w:sz w:val="24"/>
                <w:szCs w:val="24"/>
              </w:rPr>
            </w:pPr>
            <w:r w:rsidRPr="00F61275">
              <w:rPr>
                <w:rFonts w:ascii="Arial" w:hAnsi="Arial" w:cs="Arial"/>
                <w:sz w:val="24"/>
                <w:szCs w:val="24"/>
              </w:rPr>
              <w:t>Corregirse el brillo.</w:t>
            </w:r>
          </w:p>
          <w:p w14:paraId="1643A1BA" w14:textId="7129E8D6" w:rsidR="00F61275" w:rsidRPr="00370BF5" w:rsidRDefault="00F61275" w:rsidP="00F61275">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0409551B" w:rsidR="0049398B" w:rsidRPr="00370BF5" w:rsidRDefault="00F61275" w:rsidP="009241AE">
            <w:pPr>
              <w:spacing w:line="360" w:lineRule="auto"/>
              <w:jc w:val="both"/>
              <w:rPr>
                <w:rFonts w:ascii="Arial" w:eastAsia="Arial" w:hAnsi="Arial" w:cs="Arial"/>
                <w:b/>
                <w:color w:val="1F3864" w:themeColor="accent1" w:themeShade="80"/>
                <w:sz w:val="24"/>
                <w:szCs w:val="24"/>
              </w:rPr>
            </w:pPr>
            <w:r w:rsidRPr="00F61275">
              <w:rPr>
                <w:rFonts w:ascii="Arial" w:eastAsia="Arial" w:hAnsi="Arial" w:cs="Arial"/>
                <w:b/>
                <w:color w:val="1F3864" w:themeColor="accent1" w:themeShade="80"/>
                <w:sz w:val="24"/>
                <w:szCs w:val="24"/>
              </w:rPr>
              <w:lastRenderedPageBreak/>
              <w:t>EFECTOS SECUNDARIOS</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5F1D4138" w14:textId="7512ABD2" w:rsidR="00F61275" w:rsidRPr="00F61275" w:rsidRDefault="00F61275" w:rsidP="00F61275">
            <w:pPr>
              <w:spacing w:line="360" w:lineRule="auto"/>
              <w:jc w:val="both"/>
              <w:rPr>
                <w:rFonts w:ascii="Arial" w:hAnsi="Arial" w:cs="Arial"/>
                <w:sz w:val="24"/>
                <w:szCs w:val="24"/>
              </w:rPr>
            </w:pPr>
          </w:p>
          <w:p w14:paraId="63C87422" w14:textId="30D6A441"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Se han dado casos de contaminación de heridas y cavidades c</w:t>
            </w:r>
            <w:r>
              <w:rPr>
                <w:rFonts w:ascii="Arial" w:hAnsi="Arial" w:cs="Arial"/>
                <w:sz w:val="24"/>
                <w:szCs w:val="24"/>
              </w:rPr>
              <w:t xml:space="preserve">orporales por talco, originando </w:t>
            </w:r>
            <w:r w:rsidRPr="00F61275">
              <w:rPr>
                <w:rFonts w:ascii="Arial" w:hAnsi="Arial" w:cs="Arial"/>
                <w:sz w:val="24"/>
                <w:szCs w:val="24"/>
              </w:rPr>
              <w:t>granulomas.</w:t>
            </w:r>
          </w:p>
          <w:p w14:paraId="1C1C34C4" w14:textId="77777777" w:rsidR="00F61275" w:rsidRPr="00F61275" w:rsidRDefault="00F61275" w:rsidP="00F61275">
            <w:pPr>
              <w:spacing w:line="360" w:lineRule="auto"/>
              <w:jc w:val="both"/>
              <w:rPr>
                <w:rFonts w:ascii="Arial" w:hAnsi="Arial" w:cs="Arial"/>
                <w:sz w:val="24"/>
                <w:szCs w:val="24"/>
              </w:rPr>
            </w:pPr>
            <w:r w:rsidRPr="00F61275">
              <w:rPr>
                <w:rFonts w:ascii="Arial" w:hAnsi="Arial" w:cs="Arial"/>
                <w:sz w:val="24"/>
                <w:szCs w:val="24"/>
              </w:rPr>
              <w:t>La inhalación de talco puede causar irritación respiratoria, que si es prolongada puede desencadenar</w:t>
            </w:r>
          </w:p>
          <w:p w14:paraId="3568181F" w14:textId="30DBE0A1" w:rsidR="00693976" w:rsidRDefault="00F61275" w:rsidP="00F61275">
            <w:pPr>
              <w:spacing w:line="360" w:lineRule="auto"/>
              <w:jc w:val="both"/>
              <w:rPr>
                <w:rFonts w:ascii="Arial" w:hAnsi="Arial" w:cs="Arial"/>
                <w:sz w:val="24"/>
                <w:szCs w:val="24"/>
              </w:rPr>
            </w:pPr>
            <w:r w:rsidRPr="00F61275">
              <w:rPr>
                <w:rFonts w:ascii="Arial" w:hAnsi="Arial" w:cs="Arial"/>
                <w:sz w:val="24"/>
                <w:szCs w:val="24"/>
              </w:rPr>
              <w:t>Neumoconiosis.</w:t>
            </w:r>
          </w:p>
          <w:p w14:paraId="1F2089AD" w14:textId="01210119" w:rsidR="00F61275" w:rsidRPr="00370BF5" w:rsidRDefault="00F61275" w:rsidP="00F61275">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841BA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841BA6">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11A65927" w:rsidR="00885DA5" w:rsidRPr="00370BF5" w:rsidRDefault="00F61275" w:rsidP="00841BA6">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Saco por 20 Kg </w:t>
                  </w:r>
                </w:p>
              </w:tc>
              <w:tc>
                <w:tcPr>
                  <w:tcW w:w="2720" w:type="dxa"/>
                </w:tcPr>
                <w:p w14:paraId="4ADC82D7" w14:textId="2E4253B6" w:rsidR="00885DA5" w:rsidRPr="00370BF5" w:rsidRDefault="00F61275" w:rsidP="00841BA6">
                  <w:pPr>
                    <w:framePr w:hSpace="141" w:wrap="around" w:vAnchor="text" w:hAnchor="margin" w:y="334"/>
                    <w:spacing w:line="360" w:lineRule="auto"/>
                    <w:jc w:val="center"/>
                    <w:rPr>
                      <w:rFonts w:ascii="Arial" w:hAnsi="Arial" w:cs="Arial"/>
                      <w:sz w:val="24"/>
                      <w:szCs w:val="24"/>
                    </w:rPr>
                  </w:pPr>
                  <w:r w:rsidRPr="00F61275">
                    <w:rPr>
                      <w:rFonts w:ascii="Arial" w:hAnsi="Arial" w:cs="Arial"/>
                      <w:sz w:val="24"/>
                      <w:szCs w:val="24"/>
                    </w:rPr>
                    <w:t>Dispensación</w:t>
                  </w:r>
                  <w:r>
                    <w:rPr>
                      <w:rFonts w:ascii="Arial" w:hAnsi="Arial" w:cs="Arial"/>
                      <w:sz w:val="24"/>
                      <w:szCs w:val="24"/>
                    </w:rPr>
                    <w:t xml:space="preserve">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Default="002657B2" w:rsidP="009241AE">
            <w:pPr>
              <w:spacing w:after="160" w:line="360" w:lineRule="auto"/>
              <w:jc w:val="both"/>
              <w:rPr>
                <w:rFonts w:ascii="Arial" w:hAnsi="Arial" w:cs="Arial"/>
                <w:sz w:val="24"/>
                <w:szCs w:val="24"/>
              </w:rPr>
            </w:pPr>
          </w:p>
          <w:p w14:paraId="147A3727" w14:textId="06143C17" w:rsidR="00F61275" w:rsidRPr="00370BF5" w:rsidRDefault="00F61275" w:rsidP="00F61275">
            <w:pPr>
              <w:spacing w:after="160" w:line="360" w:lineRule="auto"/>
              <w:jc w:val="both"/>
              <w:rPr>
                <w:rFonts w:ascii="Arial" w:hAnsi="Arial" w:cs="Arial"/>
                <w:sz w:val="24"/>
                <w:szCs w:val="24"/>
              </w:rPr>
            </w:pPr>
            <w:r w:rsidRPr="00935C63">
              <w:rPr>
                <w:rFonts w:ascii="Arial" w:hAnsi="Arial" w:cs="Arial"/>
                <w:sz w:val="24"/>
                <w:szCs w:val="24"/>
              </w:rPr>
              <w:t xml:space="preserve">El producto tiene una vida útil de </w:t>
            </w:r>
            <w:r>
              <w:rPr>
                <w:rFonts w:ascii="Arial" w:hAnsi="Arial" w:cs="Arial"/>
                <w:sz w:val="24"/>
                <w:szCs w:val="24"/>
              </w:rPr>
              <w:t xml:space="preserve">24 </w:t>
            </w:r>
            <w:r w:rsidRPr="00935C63">
              <w:rPr>
                <w:rFonts w:ascii="Arial" w:hAnsi="Arial" w:cs="Arial"/>
                <w:sz w:val="24"/>
                <w:szCs w:val="24"/>
              </w:rPr>
              <w:t>meses bajo condiciones adecuadas de almacenamiento</w:t>
            </w:r>
            <w:r>
              <w:rPr>
                <w:rFonts w:ascii="Arial" w:hAnsi="Arial" w:cs="Arial"/>
                <w:sz w:val="24"/>
                <w:szCs w:val="24"/>
              </w:rPr>
              <w:t>.</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5152028A"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F61275" w:rsidRPr="00370BF5" w:rsidRDefault="00F61275"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648D8" w14:textId="77777777" w:rsidR="00A91891" w:rsidRDefault="00A91891" w:rsidP="00C93E31">
      <w:pPr>
        <w:spacing w:after="0" w:line="240" w:lineRule="auto"/>
      </w:pPr>
      <w:r>
        <w:separator/>
      </w:r>
    </w:p>
  </w:endnote>
  <w:endnote w:type="continuationSeparator" w:id="0">
    <w:p w14:paraId="227DF942" w14:textId="77777777" w:rsidR="00A91891" w:rsidRDefault="00A91891"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3D5FA" w14:textId="77777777" w:rsidR="00A91891" w:rsidRDefault="00A91891" w:rsidP="00C93E31">
      <w:pPr>
        <w:spacing w:after="0" w:line="240" w:lineRule="auto"/>
      </w:pPr>
      <w:r>
        <w:separator/>
      </w:r>
    </w:p>
  </w:footnote>
  <w:footnote w:type="continuationSeparator" w:id="0">
    <w:p w14:paraId="68123E39" w14:textId="77777777" w:rsidR="00A91891" w:rsidRDefault="00A91891"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764B2"/>
    <w:rsid w:val="00090C55"/>
    <w:rsid w:val="00094BD2"/>
    <w:rsid w:val="000D0B1E"/>
    <w:rsid w:val="000E135B"/>
    <w:rsid w:val="00114558"/>
    <w:rsid w:val="001519DA"/>
    <w:rsid w:val="00154574"/>
    <w:rsid w:val="00186334"/>
    <w:rsid w:val="001A26F1"/>
    <w:rsid w:val="001A3D8A"/>
    <w:rsid w:val="001C17A0"/>
    <w:rsid w:val="001C67E0"/>
    <w:rsid w:val="00255946"/>
    <w:rsid w:val="002657B2"/>
    <w:rsid w:val="00276186"/>
    <w:rsid w:val="00286CEA"/>
    <w:rsid w:val="002B482E"/>
    <w:rsid w:val="002B7F9D"/>
    <w:rsid w:val="002C08C1"/>
    <w:rsid w:val="002C7E20"/>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65E08"/>
    <w:rsid w:val="00693976"/>
    <w:rsid w:val="006A7DB4"/>
    <w:rsid w:val="006F1925"/>
    <w:rsid w:val="00745BCE"/>
    <w:rsid w:val="00746F96"/>
    <w:rsid w:val="00753473"/>
    <w:rsid w:val="00781B5C"/>
    <w:rsid w:val="007D72BE"/>
    <w:rsid w:val="007D7666"/>
    <w:rsid w:val="00841BA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7154"/>
    <w:rsid w:val="00A91891"/>
    <w:rsid w:val="00AB1CE1"/>
    <w:rsid w:val="00AC5FA9"/>
    <w:rsid w:val="00AD7B39"/>
    <w:rsid w:val="00AE7C09"/>
    <w:rsid w:val="00B12D0A"/>
    <w:rsid w:val="00B435EA"/>
    <w:rsid w:val="00B475BE"/>
    <w:rsid w:val="00B57A4D"/>
    <w:rsid w:val="00B81088"/>
    <w:rsid w:val="00BB434F"/>
    <w:rsid w:val="00BE1442"/>
    <w:rsid w:val="00BE4C37"/>
    <w:rsid w:val="00BF2484"/>
    <w:rsid w:val="00C42767"/>
    <w:rsid w:val="00C746BB"/>
    <w:rsid w:val="00C93E31"/>
    <w:rsid w:val="00CC594F"/>
    <w:rsid w:val="00CF5651"/>
    <w:rsid w:val="00D10D31"/>
    <w:rsid w:val="00D45217"/>
    <w:rsid w:val="00D53570"/>
    <w:rsid w:val="00D5475C"/>
    <w:rsid w:val="00D54CA6"/>
    <w:rsid w:val="00D64859"/>
    <w:rsid w:val="00DB3F4A"/>
    <w:rsid w:val="00DE6685"/>
    <w:rsid w:val="00E375E2"/>
    <w:rsid w:val="00F14D35"/>
    <w:rsid w:val="00F2196E"/>
    <w:rsid w:val="00F61275"/>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1</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William</cp:lastModifiedBy>
  <cp:revision>6</cp:revision>
  <dcterms:created xsi:type="dcterms:W3CDTF">2024-11-05T20:26:00Z</dcterms:created>
  <dcterms:modified xsi:type="dcterms:W3CDTF">2025-07-26T15:30:00Z</dcterms:modified>
</cp:coreProperties>
</file>